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锂离子电池存储使用安全规范（送审稿）</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地方标准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16"/>
          <w:szCs w:val="16"/>
          <w:lang w:eastAsia="zh-CN"/>
        </w:rPr>
      </w:pPr>
      <w:r>
        <w:rPr>
          <w:rFonts w:hint="eastAsia" w:ascii="方正小标宋简体" w:hAnsi="方正小标宋简体" w:eastAsia="方正小标宋简体" w:cs="方正小标宋简体"/>
          <w:sz w:val="32"/>
          <w:szCs w:val="32"/>
          <w:lang w:eastAsia="zh-CN"/>
        </w:rPr>
        <w:t>社会</w:t>
      </w:r>
      <w:r>
        <w:rPr>
          <w:rFonts w:hint="eastAsia" w:ascii="方正小标宋简体" w:hAnsi="方正小标宋简体" w:eastAsia="方正小标宋简体" w:cs="方正小标宋简体"/>
          <w:sz w:val="32"/>
          <w:szCs w:val="32"/>
        </w:rPr>
        <w:t>公众意见</w:t>
      </w:r>
      <w:r>
        <w:rPr>
          <w:rFonts w:hint="eastAsia" w:ascii="方正小标宋简体" w:hAnsi="方正小标宋简体" w:eastAsia="方正小标宋简体" w:cs="方正小标宋简体"/>
          <w:sz w:val="32"/>
          <w:szCs w:val="32"/>
          <w:lang w:eastAsia="zh-CN"/>
        </w:rPr>
        <w:t>收集</w:t>
      </w:r>
      <w:r>
        <w:rPr>
          <w:rFonts w:hint="eastAsia" w:ascii="方正小标宋简体" w:hAnsi="方正小标宋简体" w:eastAsia="方正小标宋简体" w:cs="方正小标宋简体"/>
          <w:sz w:val="32"/>
          <w:szCs w:val="32"/>
        </w:rPr>
        <w:t>及采纳</w:t>
      </w:r>
      <w:r>
        <w:rPr>
          <w:rFonts w:hint="eastAsia" w:ascii="方正小标宋简体" w:hAnsi="方正小标宋简体" w:eastAsia="方正小标宋简体" w:cs="方正小标宋简体"/>
          <w:sz w:val="32"/>
          <w:szCs w:val="32"/>
          <w:lang w:eastAsia="zh-CN"/>
        </w:rPr>
        <w:t>情况表</w:t>
      </w:r>
    </w:p>
    <w:tbl>
      <w:tblPr>
        <w:tblStyle w:val="3"/>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938"/>
        <w:gridCol w:w="1065"/>
        <w:gridCol w:w="3214"/>
        <w:gridCol w:w="2615"/>
        <w:gridCol w:w="847"/>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noWrap w:val="0"/>
            <w:vAlign w:val="center"/>
          </w:tcPr>
          <w:p>
            <w:pPr>
              <w:widowControl/>
              <w:spacing w:line="40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0" w:type="auto"/>
            <w:noWrap w:val="0"/>
            <w:vAlign w:val="center"/>
          </w:tcPr>
          <w:p>
            <w:pPr>
              <w:widowControl/>
              <w:spacing w:line="400" w:lineRule="exact"/>
              <w:jc w:val="center"/>
              <w:rPr>
                <w:rFonts w:ascii="宋体" w:hAnsi="宋体" w:cs="宋体"/>
                <w:b/>
                <w:bCs/>
                <w:color w:val="000000"/>
                <w:kern w:val="0"/>
                <w:sz w:val="24"/>
              </w:rPr>
            </w:pPr>
            <w:r>
              <w:rPr>
                <w:rFonts w:hint="eastAsia" w:ascii="宋体" w:hAnsi="宋体" w:cs="宋体"/>
                <w:b/>
                <w:bCs/>
                <w:color w:val="000000"/>
                <w:kern w:val="0"/>
                <w:sz w:val="24"/>
              </w:rPr>
              <w:t>反馈单位（个人）</w:t>
            </w:r>
          </w:p>
        </w:tc>
        <w:tc>
          <w:tcPr>
            <w:tcW w:w="0" w:type="auto"/>
            <w:noWrap w:val="0"/>
            <w:vAlign w:val="center"/>
          </w:tcPr>
          <w:p>
            <w:pPr>
              <w:widowControl/>
              <w:spacing w:line="400" w:lineRule="exact"/>
              <w:jc w:val="center"/>
              <w:rPr>
                <w:rFonts w:ascii="宋体" w:hAnsi="宋体" w:cs="宋体"/>
                <w:b/>
                <w:bCs/>
                <w:color w:val="000000"/>
                <w:kern w:val="0"/>
                <w:sz w:val="24"/>
              </w:rPr>
            </w:pPr>
            <w:r>
              <w:rPr>
                <w:rFonts w:hint="eastAsia" w:ascii="宋体" w:hAnsi="宋体" w:cs="宋体"/>
                <w:b/>
                <w:bCs/>
                <w:color w:val="000000"/>
                <w:kern w:val="0"/>
                <w:sz w:val="24"/>
              </w:rPr>
              <w:t>章条</w:t>
            </w:r>
          </w:p>
        </w:tc>
        <w:tc>
          <w:tcPr>
            <w:tcW w:w="3214" w:type="dxa"/>
            <w:noWrap w:val="0"/>
            <w:vAlign w:val="center"/>
          </w:tcPr>
          <w:p>
            <w:pPr>
              <w:widowControl/>
              <w:spacing w:line="400" w:lineRule="exact"/>
              <w:jc w:val="center"/>
              <w:rPr>
                <w:rFonts w:ascii="宋体" w:hAnsi="宋体" w:cs="宋体"/>
                <w:b/>
                <w:bCs/>
                <w:color w:val="000000"/>
                <w:kern w:val="0"/>
                <w:sz w:val="24"/>
              </w:rPr>
            </w:pPr>
            <w:r>
              <w:rPr>
                <w:rFonts w:hint="eastAsia" w:ascii="宋体" w:hAnsi="宋体" w:cs="宋体"/>
                <w:b/>
                <w:bCs/>
                <w:color w:val="000000"/>
                <w:kern w:val="0"/>
                <w:sz w:val="24"/>
              </w:rPr>
              <w:t>反馈意见（建议）</w:t>
            </w:r>
          </w:p>
        </w:tc>
        <w:tc>
          <w:tcPr>
            <w:tcW w:w="2615" w:type="dxa"/>
            <w:noWrap w:val="0"/>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理由</w:t>
            </w:r>
          </w:p>
        </w:tc>
        <w:tc>
          <w:tcPr>
            <w:tcW w:w="847" w:type="dxa"/>
            <w:noWrap w:val="0"/>
            <w:vAlign w:val="center"/>
          </w:tcPr>
          <w:p>
            <w:pPr>
              <w:widowControl/>
              <w:spacing w:line="400" w:lineRule="exact"/>
              <w:jc w:val="center"/>
              <w:rPr>
                <w:rFonts w:ascii="宋体" w:hAnsi="宋体" w:cs="宋体"/>
                <w:b/>
                <w:bCs/>
                <w:color w:val="000000"/>
                <w:kern w:val="0"/>
                <w:sz w:val="24"/>
              </w:rPr>
            </w:pPr>
            <w:r>
              <w:rPr>
                <w:rFonts w:hint="eastAsia" w:ascii="宋体" w:hAnsi="宋体" w:cs="宋体"/>
                <w:b/>
                <w:bCs/>
                <w:kern w:val="0"/>
                <w:sz w:val="24"/>
              </w:rPr>
              <w:t>采纳情况</w:t>
            </w:r>
          </w:p>
        </w:tc>
        <w:tc>
          <w:tcPr>
            <w:tcW w:w="5592" w:type="dxa"/>
            <w:noWrap w:val="0"/>
            <w:vAlign w:val="center"/>
          </w:tcPr>
          <w:p>
            <w:pPr>
              <w:widowControl/>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p>
        </w:tc>
        <w:tc>
          <w:tcPr>
            <w:tcW w:w="0" w:type="auto"/>
            <w:noWrap/>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郑红</w:t>
            </w:r>
          </w:p>
          <w:p>
            <w:pPr>
              <w:widowControl/>
              <w:spacing w:line="400" w:lineRule="exact"/>
              <w:jc w:val="center"/>
            </w:pPr>
          </w:p>
        </w:tc>
        <w:tc>
          <w:tcPr>
            <w:tcW w:w="0" w:type="auto"/>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规范性引用文件</w:t>
            </w:r>
          </w:p>
        </w:tc>
        <w:tc>
          <w:tcPr>
            <w:tcW w:w="3214"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增加（1）GB12268《危险货物品名表》</w:t>
            </w:r>
          </w:p>
          <w:p>
            <w:pPr>
              <w:widowControl w:val="0"/>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r>
              <w:rPr>
                <w:rFonts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t>）GB/T36276《电力储能用锂离子电池》</w:t>
            </w:r>
          </w:p>
        </w:tc>
        <w:tc>
          <w:tcPr>
            <w:tcW w:w="2615" w:type="dxa"/>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p>
        </w:tc>
        <w:tc>
          <w:tcPr>
            <w:tcW w:w="847"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不采纳</w:t>
            </w:r>
          </w:p>
        </w:tc>
        <w:tc>
          <w:tcPr>
            <w:tcW w:w="5592"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规范性引用文件，需要在规范正文中实际引用，方可列入。</w:t>
            </w:r>
            <w:r>
              <w:rPr>
                <w:rFonts w:hint="eastAsia" w:ascii="仿宋_GB2312" w:hAnsi="仿宋_GB2312" w:eastAsia="仿宋_GB2312" w:cs="仿宋_GB2312"/>
                <w:sz w:val="24"/>
                <w:lang w:eastAsia="zh-CN"/>
              </w:rPr>
              <w:t>反馈人所提</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项国家标准未在本规范正文中实际引用，因此不列入</w:t>
            </w:r>
            <w:r>
              <w:rPr>
                <w:rFonts w:hint="eastAsia" w:ascii="仿宋_GB2312" w:hAnsi="仿宋_GB2312" w:eastAsia="仿宋_GB2312" w:cs="仿宋_GB2312"/>
                <w:sz w:val="24"/>
              </w:rPr>
              <w:t>规范性引用文件。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p>
        </w:tc>
        <w:tc>
          <w:tcPr>
            <w:tcW w:w="0" w:type="auto"/>
            <w:noWrap/>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郑红</w:t>
            </w:r>
          </w:p>
        </w:tc>
        <w:tc>
          <w:tcPr>
            <w:tcW w:w="0" w:type="auto"/>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术语和定义</w:t>
            </w:r>
          </w:p>
        </w:tc>
        <w:tc>
          <w:tcPr>
            <w:tcW w:w="3214"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增加：3.17灭火系统fire protection system可自动和手动喷放灭火介质，用于抑制锂电池和电化学储能电站相关电气火灾及电池火灾的灭火装置。</w:t>
            </w:r>
          </w:p>
        </w:tc>
        <w:tc>
          <w:tcPr>
            <w:tcW w:w="2615" w:type="dxa"/>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p>
        </w:tc>
        <w:tc>
          <w:tcPr>
            <w:tcW w:w="847"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不采纳</w:t>
            </w:r>
          </w:p>
        </w:tc>
        <w:tc>
          <w:tcPr>
            <w:tcW w:w="5592" w:type="dxa"/>
            <w:noWrap w:val="0"/>
            <w:vAlign w:val="center"/>
          </w:tcPr>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消防词汇第1部分：通用术语</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G</w:t>
            </w:r>
            <w:r>
              <w:rPr>
                <w:rFonts w:ascii="仿宋_GB2312" w:hAnsi="仿宋_GB2312" w:eastAsia="仿宋_GB2312" w:cs="仿宋_GB2312"/>
                <w:sz w:val="24"/>
              </w:rPr>
              <w:t>B/T5907.1-2014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第2</w:t>
            </w:r>
            <w:r>
              <w:rPr>
                <w:rFonts w:ascii="仿宋_GB2312" w:hAnsi="仿宋_GB2312" w:eastAsia="仿宋_GB2312" w:cs="仿宋_GB2312"/>
                <w:sz w:val="24"/>
              </w:rPr>
              <w:t>.65</w:t>
            </w:r>
            <w:r>
              <w:rPr>
                <w:rFonts w:hint="eastAsia" w:ascii="仿宋_GB2312" w:hAnsi="仿宋_GB2312" w:eastAsia="仿宋_GB2312" w:cs="仿宋_GB2312"/>
                <w:sz w:val="24"/>
              </w:rPr>
              <w:t>条已对灭火系统进行明确定义，故本规范不再给出重复定义。</w:t>
            </w:r>
          </w:p>
          <w:p>
            <w:pPr>
              <w:widowControl/>
              <w:spacing w:line="400" w:lineRule="exact"/>
              <w:ind w:left="240" w:hanging="240" w:hangingChars="1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.65</w:t>
            </w:r>
            <w:r>
              <w:rPr>
                <w:rFonts w:ascii="仿宋_GB2312" w:hAnsi="仿宋_GB2312" w:eastAsia="仿宋_GB2312" w:cs="仿宋_GB2312"/>
                <w:b/>
                <w:bCs/>
                <w:sz w:val="24"/>
              </w:rPr>
              <w:t xml:space="preserve">固定灭火系统 </w:t>
            </w:r>
            <w:r>
              <w:rPr>
                <w:rFonts w:eastAsia="仿宋_GB2312" w:cs="Calibri"/>
                <w:b/>
                <w:bCs/>
                <w:sz w:val="24"/>
              </w:rPr>
              <w:t> </w:t>
            </w:r>
            <w:r>
              <w:rPr>
                <w:rFonts w:ascii="仿宋_GB2312" w:hAnsi="仿宋_GB2312" w:eastAsia="仿宋_GB2312" w:cs="仿宋_GB2312"/>
                <w:b/>
                <w:bCs/>
                <w:sz w:val="24"/>
              </w:rPr>
              <w:t>fixed extinguishing system</w:t>
            </w:r>
          </w:p>
          <w:p>
            <w:pPr>
              <w:widowControl/>
              <w:spacing w:line="400" w:lineRule="exact"/>
              <w:jc w:val="left"/>
              <w:rPr>
                <w:rFonts w:ascii="仿宋_GB2312" w:hAnsi="仿宋_GB2312" w:eastAsia="仿宋_GB2312" w:cs="仿宋_GB2312"/>
                <w:sz w:val="24"/>
              </w:rPr>
            </w:pPr>
            <w:r>
              <w:rPr>
                <w:rFonts w:ascii="仿宋_GB2312" w:hAnsi="仿宋_GB2312" w:eastAsia="仿宋_GB2312" w:cs="仿宋_GB2312"/>
                <w:sz w:val="24"/>
              </w:rPr>
              <w:t>固定安装于建筑物、构筑物或设施等，由灭火剂（2.68）供应源、管路、喷放器件和控制装置等组成的灭火系统。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p>
        </w:tc>
        <w:tc>
          <w:tcPr>
            <w:tcW w:w="0" w:type="auto"/>
            <w:noWrap/>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郑红</w:t>
            </w:r>
          </w:p>
        </w:tc>
        <w:tc>
          <w:tcPr>
            <w:tcW w:w="0" w:type="auto"/>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5.6物流环节的储存</w:t>
            </w:r>
          </w:p>
        </w:tc>
        <w:tc>
          <w:tcPr>
            <w:tcW w:w="3214"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增加：锂电池应储存在阴凉、通风的环境中，应远离火源及高温环境，严禁将锂电池和其他易燃易爆物品同仓库存放。</w:t>
            </w:r>
          </w:p>
        </w:tc>
        <w:tc>
          <w:tcPr>
            <w:tcW w:w="2615" w:type="dxa"/>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p>
        </w:tc>
        <w:tc>
          <w:tcPr>
            <w:tcW w:w="847"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采</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纳</w:t>
            </w:r>
          </w:p>
        </w:tc>
        <w:tc>
          <w:tcPr>
            <w:tcW w:w="5592"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lang w:eastAsia="zh-CN"/>
              </w:rPr>
              <w:t>本规范第</w:t>
            </w:r>
            <w:r>
              <w:rPr>
                <w:rFonts w:hint="eastAsia" w:ascii="仿宋_GB2312" w:hAnsi="仿宋_GB2312" w:eastAsia="仿宋_GB2312" w:cs="仿宋_GB2312"/>
                <w:sz w:val="24"/>
              </w:rPr>
              <w:t>6.1.4</w:t>
            </w:r>
            <w:r>
              <w:rPr>
                <w:rFonts w:hint="eastAsia" w:ascii="仿宋_GB2312" w:hAnsi="仿宋_GB2312" w:eastAsia="仿宋_GB2312" w:cs="仿宋_GB2312"/>
                <w:sz w:val="24"/>
                <w:lang w:eastAsia="zh-CN"/>
              </w:rPr>
              <w:t>条</w:t>
            </w:r>
            <w:r>
              <w:rPr>
                <w:rFonts w:hint="eastAsia" w:ascii="仿宋_GB2312" w:hAnsi="仿宋_GB2312" w:eastAsia="仿宋_GB2312" w:cs="仿宋_GB2312"/>
                <w:sz w:val="24"/>
              </w:rPr>
              <w:t>内容涵盖了本条意见的要求</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6.1.4</w:t>
            </w:r>
            <w:r>
              <w:rPr>
                <w:rFonts w:hint="eastAsia" w:ascii="仿宋_GB2312" w:hAnsi="仿宋_GB2312" w:eastAsia="仿宋_GB2312" w:cs="仿宋_GB2312"/>
                <w:sz w:val="24"/>
                <w:lang w:eastAsia="zh-CN"/>
              </w:rPr>
              <w:t>条已明确了</w:t>
            </w:r>
            <w:r>
              <w:rPr>
                <w:rFonts w:hint="eastAsia" w:ascii="仿宋_GB2312" w:hAnsi="仿宋_GB2312" w:eastAsia="仿宋_GB2312" w:cs="仿宋_GB2312"/>
                <w:sz w:val="24"/>
              </w:rPr>
              <w:t>锂离子电池存放位置不应受阳光直射，应远离热源，易燃易爆品和危险化学品。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p>
        </w:tc>
        <w:tc>
          <w:tcPr>
            <w:tcW w:w="0" w:type="auto"/>
            <w:noWrap/>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郑红</w:t>
            </w:r>
          </w:p>
        </w:tc>
        <w:tc>
          <w:tcPr>
            <w:tcW w:w="0" w:type="auto"/>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6.1通用管理要求</w:t>
            </w:r>
          </w:p>
        </w:tc>
        <w:tc>
          <w:tcPr>
            <w:tcW w:w="3214"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增加：任何有锂电池的地方，严禁吸烟、电焊、动火等有明火发生的行为和作业。</w:t>
            </w:r>
          </w:p>
        </w:tc>
        <w:tc>
          <w:tcPr>
            <w:tcW w:w="2615" w:type="dxa"/>
            <w:noWrap/>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p>
        </w:tc>
        <w:tc>
          <w:tcPr>
            <w:tcW w:w="847"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采纳</w:t>
            </w:r>
          </w:p>
        </w:tc>
        <w:tc>
          <w:tcPr>
            <w:tcW w:w="5592"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本规范中“6</w:t>
            </w:r>
            <w:r>
              <w:rPr>
                <w:rFonts w:ascii="仿宋_GB2312" w:hAnsi="仿宋_GB2312" w:eastAsia="仿宋_GB2312" w:cs="仿宋_GB2312"/>
                <w:sz w:val="24"/>
              </w:rPr>
              <w:t>.1.1</w:t>
            </w:r>
            <w:r>
              <w:rPr>
                <w:rFonts w:hint="eastAsia" w:ascii="仿宋_GB2312" w:hAnsi="仿宋_GB2312" w:eastAsia="仿宋_GB2312" w:cs="仿宋_GB2312"/>
                <w:sz w:val="24"/>
              </w:rPr>
              <w:t>锂离子电池和含锂离子电池产品的库房消防安全管理应符合XF 1131的要求。”已经包含该要求。</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仓储场所消防安全管理通则</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XF 1131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第9</w:t>
            </w:r>
            <w:r>
              <w:rPr>
                <w:rFonts w:ascii="仿宋_GB2312" w:hAnsi="仿宋_GB2312" w:eastAsia="仿宋_GB2312" w:cs="仿宋_GB2312"/>
                <w:sz w:val="24"/>
              </w:rPr>
              <w:t>.3</w:t>
            </w:r>
            <w:r>
              <w:rPr>
                <w:rFonts w:hint="eastAsia" w:ascii="仿宋_GB2312" w:hAnsi="仿宋_GB2312" w:eastAsia="仿宋_GB2312" w:cs="仿宋_GB2312"/>
                <w:sz w:val="24"/>
              </w:rPr>
              <w:t>条，已经明确仓储场所的动火要求。详见下文：</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9.3 仓储场所内不应使用明火，并应设置醒目的禁止标志。因施工确需明火作业时，应按用火管理制度办理动火证，由具有相应资格的专门人员进行动火操作，并设专人和灭火器材进行现场监护；动火作业结束后，应检查并确认无遗留火种。动火证应注明动火地点、时间、动火人、现场监护人、批准人和防火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ign w:val="center"/>
          </w:tcPr>
          <w:p>
            <w:pPr>
              <w:widowControl/>
              <w:spacing w:line="400" w:lineRule="exact"/>
              <w:rPr>
                <w:rFonts w:ascii="仿宋_GB2312" w:hAnsi="仿宋_GB2312" w:eastAsia="仿宋_GB2312" w:cs="仿宋_GB2312"/>
                <w:sz w:val="24"/>
              </w:rPr>
            </w:pPr>
            <w:r>
              <w:rPr>
                <w:rFonts w:ascii="仿宋_GB2312" w:hAnsi="仿宋_GB2312" w:eastAsia="仿宋_GB2312" w:cs="仿宋_GB2312"/>
                <w:sz w:val="24"/>
              </w:rPr>
              <w:t>5</w:t>
            </w:r>
          </w:p>
        </w:tc>
        <w:tc>
          <w:tcPr>
            <w:tcW w:w="0" w:type="auto"/>
            <w:noWrap w:val="0"/>
            <w:vAlign w:val="center"/>
          </w:tcPr>
          <w:p>
            <w:pPr>
              <w:widowControl/>
              <w:spacing w:line="400" w:lineRule="exact"/>
              <w:jc w:val="center"/>
            </w:pPr>
            <w:r>
              <w:rPr>
                <w:rFonts w:hint="eastAsia" w:ascii="仿宋_GB2312" w:hAnsi="仿宋_GB2312" w:eastAsia="仿宋_GB2312" w:cs="仿宋_GB2312"/>
                <w:sz w:val="24"/>
              </w:rPr>
              <w:t>罗洪权</w:t>
            </w:r>
          </w:p>
        </w:tc>
        <w:tc>
          <w:tcPr>
            <w:tcW w:w="0" w:type="auto"/>
            <w:noWrap w:val="0"/>
            <w:vAlign w:val="center"/>
          </w:tcPr>
          <w:p>
            <w:pPr>
              <w:widowControl/>
              <w:spacing w:line="400" w:lineRule="exact"/>
              <w:rPr>
                <w:rFonts w:ascii="仿宋_GB2312" w:hAnsi="仿宋_GB2312" w:eastAsia="仿宋_GB2312" w:cs="仿宋_GB2312"/>
                <w:sz w:val="24"/>
              </w:rPr>
            </w:pPr>
            <w:r>
              <w:rPr>
                <w:rFonts w:ascii="仿宋_GB2312" w:hAnsi="仿宋_GB2312" w:eastAsia="仿宋_GB2312" w:cs="仿宋_GB2312"/>
                <w:sz w:val="24"/>
              </w:rPr>
              <w:t>5.4.3</w:t>
            </w:r>
          </w:p>
        </w:tc>
        <w:tc>
          <w:tcPr>
            <w:tcW w:w="3214"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存放锂离子电池的铁皮柜、安全柜上的通气孔应保持封闭状态。</w:t>
            </w:r>
          </w:p>
        </w:tc>
        <w:tc>
          <w:tcPr>
            <w:tcW w:w="2615" w:type="dxa"/>
            <w:noWrap w:val="0"/>
            <w:vAlign w:val="center"/>
          </w:tcPr>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锂电池它不同于酒精稀释剂那种易挥发物质要打开通风口，那锂电池本身它是属于易燃易爆但不是易挥发，是否不需要打开呢？在有的外资企业EHS部门进行风险辨识的时候对危化品储存柜的通风口是要求封闭的，他们的理由是正因为是易挥发物质才应该封闭不该挥发导致扩散。所以，我认为锂电池储存柜的通风口是否应该封闭。</w:t>
            </w:r>
          </w:p>
        </w:tc>
        <w:tc>
          <w:tcPr>
            <w:tcW w:w="847" w:type="dxa"/>
            <w:noWrap w:val="0"/>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不采纳</w:t>
            </w:r>
          </w:p>
        </w:tc>
        <w:tc>
          <w:tcPr>
            <w:tcW w:w="5592" w:type="dxa"/>
            <w:noWrap w:val="0"/>
            <w:vAlign w:val="center"/>
          </w:tcPr>
          <w:p>
            <w:pPr>
              <w:widowControl/>
              <w:numPr>
                <w:ilvl w:val="0"/>
                <w:numId w:val="1"/>
              </w:numPr>
              <w:spacing w:line="400" w:lineRule="exact"/>
              <w:ind w:left="261" w:leftChars="0" w:hanging="261" w:firstLineChars="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室内存放锂离子电池的铁皮柜、安全柜的主要功能是阻隔锂离子电池热失控之后的早期火灾蔓延和传播。</w:t>
            </w:r>
          </w:p>
          <w:p>
            <w:pPr>
              <w:widowControl/>
              <w:numPr>
                <w:ilvl w:val="0"/>
                <w:numId w:val="1"/>
              </w:numPr>
              <w:spacing w:line="400" w:lineRule="exact"/>
              <w:ind w:left="261" w:leftChars="0" w:hanging="261" w:firstLineChars="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通风孔打开，利于早期发现事故（人员和自动探测），降低热失控产生气体的浓度，利于散热，降低热失控早期的爆炸风险，利于早期处置。</w:t>
            </w:r>
          </w:p>
        </w:tc>
      </w:tr>
    </w:tbl>
    <w:p>
      <w:bookmarkStart w:id="0" w:name="_GoBack"/>
      <w:bookmarkEnd w:id="0"/>
    </w:p>
    <w:sectPr>
      <w:pgSz w:w="16838" w:h="11906" w:orient="landscape"/>
      <w:pgMar w:top="18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EA99B"/>
    <w:multiLevelType w:val="multilevel"/>
    <w:tmpl w:val="F9BEA99B"/>
    <w:lvl w:ilvl="0" w:tentative="0">
      <w:start w:val="1"/>
      <w:numFmt w:val="decimal"/>
      <w:suff w:val="nothing"/>
      <w:lvlText w:val="%1."/>
      <w:lvlJc w:val="left"/>
      <w:pPr>
        <w:tabs>
          <w:tab w:val="left" w:pos="0"/>
        </w:tabs>
        <w:ind w:left="261" w:hanging="261"/>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1F340831"/>
    <w:rsid w:val="2FB43990"/>
    <w:rsid w:val="7D05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next w:val="1"/>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2023-11-28T03:44:13Z</dcterms:created>
  <dc:creator>东冬</dc:creator>
  <cp:lastModifiedBy>DonnyChiang</cp:lastModifiedBy>
  <dcterms:modified xsi:type="dcterms:W3CDTF">2023-11-28T03:44:24Z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8DD3D8C4CB1040A2BEB0951EE70CFE8B_12</vt:lpwstr>
  </property>
</Properties>
</file>