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center"/>
        <w:rPr>
          <w:rFonts w:hint="eastAsia" w:ascii="方正小标宋简体" w:hAnsi="方正小标宋简体" w:eastAsia="方正小标宋简体" w:cs="方正小标宋简体"/>
          <w:sz w:val="44"/>
          <w:szCs w:val="44"/>
        </w:rPr>
      </w:pPr>
    </w:p>
    <w:p>
      <w:pPr>
        <w:widowControl/>
        <w:spacing w:line="560" w:lineRule="exact"/>
        <w:jc w:val="center"/>
        <w:rPr>
          <w:rFonts w:hint="eastAsia" w:ascii="方正小标宋简体" w:hAnsi="方正小标宋简体" w:eastAsia="方正小标宋简体" w:cs="方正小标宋简体"/>
          <w:sz w:val="44"/>
          <w:szCs w:val="44"/>
        </w:rPr>
      </w:pPr>
    </w:p>
    <w:p>
      <w:pPr>
        <w:widowControl/>
        <w:spacing w:line="560" w:lineRule="exact"/>
        <w:jc w:val="center"/>
        <w:rPr>
          <w:rFonts w:hint="eastAsia" w:ascii="方正小标宋简体" w:hAnsi="方正小标宋简体" w:eastAsia="方正小标宋简体" w:cs="方正小标宋简体"/>
          <w:sz w:val="44"/>
          <w:szCs w:val="44"/>
        </w:rPr>
      </w:pPr>
    </w:p>
    <w:p>
      <w:pPr>
        <w:widowControl/>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深圳市应急管理“十五五”规划</w:t>
      </w:r>
    </w:p>
    <w:p>
      <w:pPr>
        <w:pStyle w:val="12"/>
        <w:widowControl/>
        <w:spacing w:line="243" w:lineRule="auto"/>
        <w:jc w:val="center"/>
        <w:rPr>
          <w:rFonts w:hint="eastAsia" w:ascii="楷体_GB2312" w:hAnsi="楷体_GB2312" w:eastAsia="楷体_GB2312" w:cs="楷体_GB2312"/>
          <w:bCs/>
          <w:color w:val="000000"/>
          <w:sz w:val="36"/>
          <w:szCs w:val="36"/>
        </w:rPr>
      </w:pPr>
      <w:r>
        <w:rPr>
          <w:rFonts w:hint="eastAsia" w:ascii="楷体_GB2312" w:hAnsi="楷体_GB2312" w:eastAsia="楷体_GB2312" w:cs="楷体_GB2312"/>
          <w:bCs/>
          <w:color w:val="000000"/>
          <w:sz w:val="36"/>
          <w:szCs w:val="36"/>
        </w:rPr>
        <w:t>（0</w:t>
      </w:r>
      <w:r>
        <w:rPr>
          <w:rFonts w:hint="eastAsia" w:ascii="楷体_GB2312" w:hAnsi="楷体_GB2312" w:eastAsia="楷体_GB2312" w:cs="楷体_GB2312"/>
          <w:bCs/>
          <w:color w:val="000000"/>
          <w:sz w:val="36"/>
          <w:szCs w:val="36"/>
          <w:lang w:val="en-US" w:eastAsia="zh-CN"/>
        </w:rPr>
        <w:t>720</w:t>
      </w:r>
      <w:r>
        <w:rPr>
          <w:rFonts w:hint="eastAsia" w:ascii="楷体_GB2312" w:hAnsi="楷体_GB2312" w:eastAsia="楷体_GB2312" w:cs="楷体_GB2312"/>
          <w:bCs/>
          <w:color w:val="000000"/>
          <w:sz w:val="36"/>
          <w:szCs w:val="36"/>
        </w:rPr>
        <w:t>修改稿）</w:t>
      </w:r>
    </w:p>
    <w:p>
      <w:pPr>
        <w:pStyle w:val="12"/>
        <w:widowControl/>
        <w:rPr>
          <w:rFonts w:hint="eastAsia"/>
        </w:rPr>
      </w:pPr>
    </w:p>
    <w:p>
      <w:pPr>
        <w:widowControl/>
        <w:spacing w:line="560" w:lineRule="exact"/>
        <w:jc w:val="center"/>
        <w:rPr>
          <w:rFonts w:hint="eastAsia" w:ascii="楷体_GB2312" w:hAnsi="宋体" w:eastAsia="楷体_GB2312"/>
          <w:sz w:val="36"/>
          <w:szCs w:val="36"/>
        </w:rPr>
      </w:pPr>
      <w:bookmarkStart w:id="0" w:name="OLE_LINK7"/>
    </w:p>
    <w:bookmarkEnd w:id="0"/>
    <w:p>
      <w:pPr>
        <w:pStyle w:val="12"/>
        <w:widowControl/>
        <w:spacing w:line="560" w:lineRule="exact"/>
        <w:rPr>
          <w:rFonts w:hint="eastAsia"/>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ind w:firstLine="640" w:firstLineChars="200"/>
        <w:rPr>
          <w:rFonts w:hint="eastAsia" w:ascii="黑体" w:hAnsi="黑体" w:eastAsia="黑体"/>
          <w:sz w:val="32"/>
          <w:szCs w:val="32"/>
        </w:rPr>
      </w:pPr>
    </w:p>
    <w:p>
      <w:pPr>
        <w:pStyle w:val="12"/>
        <w:widowControl/>
        <w:spacing w:after="0" w:line="560" w:lineRule="exact"/>
        <w:rPr>
          <w:rFonts w:hint="eastAsia" w:ascii="黑体" w:hAnsi="黑体" w:eastAsia="黑体"/>
          <w:sz w:val="32"/>
          <w:szCs w:val="32"/>
        </w:rPr>
      </w:pPr>
    </w:p>
    <w:p>
      <w:pPr>
        <w:pStyle w:val="12"/>
        <w:widowControl/>
        <w:spacing w:after="0" w:line="560" w:lineRule="exact"/>
        <w:jc w:val="center"/>
        <w:rPr>
          <w:rFonts w:hint="eastAsia" w:ascii="黑体" w:hAnsi="黑体" w:eastAsia="黑体"/>
          <w:sz w:val="32"/>
          <w:szCs w:val="32"/>
        </w:rPr>
      </w:pPr>
      <w:r>
        <w:rPr>
          <w:rFonts w:hint="eastAsia" w:ascii="黑体" w:hAnsi="黑体" w:eastAsia="黑体"/>
          <w:sz w:val="32"/>
          <w:szCs w:val="32"/>
        </w:rPr>
        <w:t>2026年</w:t>
      </w:r>
      <w:r>
        <w:rPr>
          <w:rFonts w:hint="eastAsia" w:ascii="黑体" w:hAnsi="黑体" w:eastAsia="黑体"/>
          <w:sz w:val="32"/>
          <w:szCs w:val="32"/>
          <w:lang w:val="en-US" w:eastAsia="zh-CN"/>
        </w:rPr>
        <w:t>7</w:t>
      </w:r>
      <w:r>
        <w:rPr>
          <w:rFonts w:hint="eastAsia" w:ascii="黑体" w:hAnsi="黑体" w:eastAsia="黑体"/>
          <w:sz w:val="32"/>
          <w:szCs w:val="32"/>
        </w:rPr>
        <w:t>月</w:t>
      </w:r>
    </w:p>
    <w:p>
      <w:pPr>
        <w:widowControl/>
        <w:tabs>
          <w:tab w:val="right" w:leader="dot" w:pos="8789"/>
        </w:tabs>
        <w:spacing w:line="500" w:lineRule="exact"/>
        <w:jc w:val="center"/>
        <w:rPr>
          <w:rFonts w:hint="eastAsia" w:ascii="黑体" w:hAnsi="黑体" w:eastAsia="黑体" w:cs="黑体"/>
          <w:snapToGrid w:val="0"/>
          <w:color w:val="000000"/>
          <w:sz w:val="44"/>
          <w:szCs w:val="44"/>
        </w:rPr>
      </w:pPr>
      <w:bookmarkStart w:id="1" w:name="_Toc31416"/>
      <w:bookmarkStart w:id="2" w:name="_Toc25255"/>
    </w:p>
    <w:p>
      <w:pPr>
        <w:widowControl/>
        <w:tabs>
          <w:tab w:val="right" w:leader="dot" w:pos="8789"/>
        </w:tabs>
        <w:spacing w:line="500" w:lineRule="exact"/>
        <w:jc w:val="center"/>
        <w:outlineLvl w:val="0"/>
        <w:rPr>
          <w:rFonts w:hint="eastAsia" w:ascii="黑体" w:hAnsi="黑体" w:eastAsia="黑体" w:cs="黑体"/>
          <w:snapToGrid w:val="0"/>
          <w:color w:val="000000"/>
          <w:sz w:val="44"/>
          <w:szCs w:val="44"/>
        </w:rPr>
        <w:sectPr>
          <w:pgSz w:w="11906" w:h="16838"/>
          <w:pgMar w:top="2098" w:right="1474" w:bottom="1984" w:left="1587" w:header="851" w:footer="992" w:gutter="0"/>
          <w:pgNumType w:start="1"/>
          <w:cols w:space="720" w:num="1"/>
          <w:docGrid w:type="lines" w:linePitch="312" w:charSpace="0"/>
        </w:sectPr>
      </w:pPr>
      <w:bookmarkStart w:id="3" w:name="_Toc24279"/>
    </w:p>
    <w:bookmarkEnd w:id="1"/>
    <w:bookmarkEnd w:id="2"/>
    <w:bookmarkEnd w:id="3"/>
    <w:p>
      <w:pPr>
        <w:ind w:firstLine="640" w:firstLineChars="200"/>
        <w:rPr>
          <w:rFonts w:hint="eastAsia" w:ascii="仿宋_GB2312" w:hAnsi="楷体" w:eastAsia="仿宋_GB2312" w:cs="楷体"/>
          <w:sz w:val="32"/>
          <w:szCs w:val="32"/>
        </w:rPr>
      </w:pPr>
      <w:bookmarkStart w:id="4" w:name="_Toc437810252"/>
      <w:bookmarkStart w:id="5" w:name="_Toc331285685"/>
      <w:r>
        <w:rPr>
          <w:rFonts w:hint="eastAsia" w:ascii="仿宋_GB2312" w:hAnsi="楷体" w:eastAsia="仿宋_GB2312" w:cs="楷体"/>
          <w:sz w:val="32"/>
          <w:szCs w:val="32"/>
        </w:rPr>
        <w:t>为深入推进应急管理体系和能力现代化建设，根据国家、广东省应急管理领域相关规划和《深圳市国民经济和社会发展第十五个五年规划纲要》，制定本规划。</w:t>
      </w:r>
    </w:p>
    <w:p>
      <w:pPr>
        <w:pStyle w:val="12"/>
        <w:widowControl/>
        <w:spacing w:after="0" w:line="560" w:lineRule="exact"/>
        <w:ind w:firstLine="640" w:firstLineChars="200"/>
        <w:outlineLvl w:val="0"/>
        <w:rPr>
          <w:rFonts w:hint="eastAsia" w:ascii="黑体" w:hAnsi="黑体" w:eastAsia="黑体"/>
          <w:sz w:val="32"/>
          <w:szCs w:val="32"/>
        </w:rPr>
      </w:pPr>
      <w:bookmarkStart w:id="6" w:name="_Toc25840"/>
      <w:r>
        <w:rPr>
          <w:rFonts w:hint="eastAsia" w:ascii="黑体" w:hAnsi="黑体" w:eastAsia="黑体"/>
          <w:sz w:val="32"/>
          <w:szCs w:val="32"/>
        </w:rPr>
        <w:t>一、</w:t>
      </w:r>
      <w:bookmarkEnd w:id="4"/>
      <w:r>
        <w:rPr>
          <w:rFonts w:hint="eastAsia" w:ascii="黑体" w:hAnsi="黑体" w:eastAsia="黑体"/>
          <w:sz w:val="32"/>
          <w:szCs w:val="32"/>
        </w:rPr>
        <w:t>总体要求</w:t>
      </w:r>
      <w:bookmarkEnd w:id="5"/>
      <w:bookmarkEnd w:id="6"/>
    </w:p>
    <w:p>
      <w:pPr>
        <w:widowControl/>
        <w:spacing w:line="560" w:lineRule="exact"/>
        <w:ind w:firstLine="640" w:firstLineChars="200"/>
        <w:outlineLvl w:val="1"/>
        <w:rPr>
          <w:rFonts w:hint="eastAsia" w:ascii="楷体_GB2312" w:hAnsi="黑体" w:eastAsia="楷体_GB2312"/>
          <w:bCs/>
          <w:sz w:val="32"/>
          <w:szCs w:val="32"/>
        </w:rPr>
      </w:pPr>
      <w:bookmarkStart w:id="7" w:name="_Toc883411361"/>
      <w:bookmarkStart w:id="8" w:name="_Toc126261945"/>
      <w:bookmarkStart w:id="9" w:name="_Toc17327"/>
      <w:r>
        <w:rPr>
          <w:rFonts w:hint="eastAsia" w:ascii="楷体_GB2312" w:hAnsi="黑体" w:eastAsia="楷体_GB2312"/>
          <w:bCs/>
          <w:sz w:val="32"/>
          <w:szCs w:val="32"/>
        </w:rPr>
        <w:t>（一）指导思想</w:t>
      </w:r>
      <w:bookmarkEnd w:id="7"/>
      <w:bookmarkEnd w:id="8"/>
      <w:bookmarkEnd w:id="9"/>
    </w:p>
    <w:p>
      <w:pPr>
        <w:widowControl/>
        <w:spacing w:line="560" w:lineRule="exact"/>
        <w:ind w:firstLine="640" w:firstLineChars="200"/>
        <w:rPr>
          <w:rFonts w:hint="eastAsia" w:ascii="仿宋_GB2312" w:hAnsi="楷体" w:eastAsia="仿宋_GB2312" w:cs="楷体"/>
          <w:sz w:val="32"/>
          <w:szCs w:val="32"/>
        </w:rPr>
      </w:pPr>
      <w:r>
        <w:rPr>
          <w:rFonts w:hint="eastAsia" w:ascii="仿宋_GB2312" w:hAnsi="楷体" w:eastAsia="仿宋_GB2312" w:cs="楷体"/>
          <w:sz w:val="32"/>
          <w:szCs w:val="32"/>
        </w:rPr>
        <w:t>以习近平新时代中国特色社会主义思想为指导，全面贯彻党的二十大和二十届历次全会精神，以总体国家安全观为统领，统筹发展和安全，坚持人民至上、生命至上。坚持问题导向、创新思维，</w:t>
      </w:r>
      <w:r>
        <w:rPr>
          <w:rFonts w:hint="eastAsia" w:ascii="仿宋_GB2312" w:hAnsi="楷体" w:eastAsia="仿宋_GB2312" w:cs="楷体"/>
          <w:sz w:val="32"/>
          <w:szCs w:val="32"/>
          <w:lang w:val="en"/>
        </w:rPr>
        <w:t>树立全周期管理</w:t>
      </w:r>
      <w:r>
        <w:rPr>
          <w:rFonts w:hint="eastAsia" w:ascii="仿宋_GB2312" w:hAnsi="楷体" w:eastAsia="仿宋_GB2312" w:cs="楷体"/>
          <w:sz w:val="32"/>
          <w:szCs w:val="32"/>
        </w:rPr>
        <w:t>理念</w:t>
      </w:r>
      <w:r>
        <w:rPr>
          <w:rFonts w:hint="eastAsia" w:ascii="仿宋_GB2312" w:hAnsi="楷体" w:eastAsia="仿宋_GB2312" w:cs="楷体"/>
          <w:sz w:val="32"/>
          <w:szCs w:val="32"/>
          <w:lang w:val="en"/>
        </w:rPr>
        <w:t>，</w:t>
      </w:r>
      <w:r>
        <w:rPr>
          <w:rFonts w:hint="eastAsia" w:ascii="仿宋_GB2312" w:hAnsi="楷体" w:eastAsia="仿宋_GB2312" w:cs="楷体"/>
          <w:color w:val="000000" w:themeColor="text1"/>
          <w:sz w:val="32"/>
          <w:szCs w:val="32"/>
          <w:lang w:val="en"/>
          <w14:textFill>
            <w14:solidFill>
              <w14:schemeClr w14:val="tx1"/>
            </w14:solidFill>
          </w14:textFill>
        </w:rPr>
        <w:t>将安全发展贯穿于城市工作各领域、全过程，</w:t>
      </w:r>
      <w:r>
        <w:rPr>
          <w:rFonts w:hint="eastAsia" w:ascii="仿宋_GB2312" w:hAnsi="楷体" w:eastAsia="仿宋_GB2312" w:cs="楷体"/>
          <w:sz w:val="32"/>
          <w:szCs w:val="32"/>
        </w:rPr>
        <w:t>以</w:t>
      </w:r>
      <w:r>
        <w:rPr>
          <w:rFonts w:hint="eastAsia" w:ascii="仿宋_GB2312" w:hAnsi="楷体" w:eastAsia="仿宋_GB2312" w:cs="楷体"/>
          <w:sz w:val="32"/>
          <w:szCs w:val="32"/>
          <w:lang w:val="en"/>
        </w:rPr>
        <w:t>推动公共安全治理模式向事前预防转型</w:t>
      </w:r>
      <w:r>
        <w:rPr>
          <w:rFonts w:hint="eastAsia" w:ascii="仿宋_GB2312" w:hAnsi="楷体" w:eastAsia="仿宋_GB2312" w:cs="楷体"/>
          <w:sz w:val="32"/>
          <w:szCs w:val="32"/>
        </w:rPr>
        <w:t>为主线</w:t>
      </w:r>
      <w:r>
        <w:rPr>
          <w:rFonts w:hint="eastAsia" w:ascii="仿宋_GB2312" w:hAnsi="楷体" w:eastAsia="仿宋_GB2312" w:cs="楷体"/>
          <w:sz w:val="32"/>
          <w:szCs w:val="32"/>
          <w:lang w:val="en"/>
        </w:rPr>
        <w:t>，以深化改革</w:t>
      </w:r>
      <w:r>
        <w:rPr>
          <w:rFonts w:hint="eastAsia" w:ascii="仿宋_GB2312" w:hAnsi="楷体" w:eastAsia="仿宋_GB2312" w:cs="楷体"/>
          <w:sz w:val="32"/>
          <w:szCs w:val="32"/>
        </w:rPr>
        <w:t>和科技</w:t>
      </w:r>
      <w:r>
        <w:rPr>
          <w:rFonts w:hint="eastAsia" w:ascii="仿宋_GB2312" w:hAnsi="楷体" w:eastAsia="仿宋_GB2312" w:cs="楷体"/>
          <w:sz w:val="32"/>
          <w:szCs w:val="32"/>
          <w:lang w:val="en"/>
        </w:rPr>
        <w:t>创新为</w:t>
      </w:r>
      <w:r>
        <w:rPr>
          <w:rFonts w:hint="eastAsia" w:ascii="仿宋_GB2312" w:hAnsi="楷体" w:eastAsia="仿宋_GB2312" w:cs="楷体"/>
          <w:sz w:val="32"/>
          <w:szCs w:val="32"/>
        </w:rPr>
        <w:t>动力</w:t>
      </w:r>
      <w:r>
        <w:rPr>
          <w:rFonts w:hint="eastAsia" w:ascii="仿宋_GB2312" w:hAnsi="楷体" w:eastAsia="仿宋_GB2312" w:cs="楷体"/>
          <w:sz w:val="32"/>
          <w:szCs w:val="32"/>
          <w:lang w:val="en"/>
        </w:rPr>
        <w:t>，以保护人民群众生命财产安全和社会稳定为根本目的，切实提高城市安全韧性水平，</w:t>
      </w:r>
      <w:r>
        <w:rPr>
          <w:rFonts w:hint="eastAsia" w:ascii="仿宋_GB2312" w:hAnsi="楷体" w:eastAsia="仿宋_GB2312" w:cs="楷体"/>
          <w:sz w:val="32"/>
          <w:szCs w:val="32"/>
        </w:rPr>
        <w:t>坚决防范遏制重特大事故发生，最大限度降低自然灾害损失，以高水平安全保障高质量发展。</w:t>
      </w:r>
    </w:p>
    <w:p>
      <w:pPr>
        <w:widowControl/>
        <w:spacing w:line="560" w:lineRule="exact"/>
        <w:ind w:firstLine="640" w:firstLineChars="200"/>
        <w:outlineLvl w:val="1"/>
        <w:rPr>
          <w:rFonts w:hint="eastAsia" w:ascii="楷体_GB2312" w:hAnsi="黑体" w:eastAsia="楷体_GB2312"/>
          <w:bCs/>
          <w:sz w:val="32"/>
          <w:szCs w:val="32"/>
        </w:rPr>
      </w:pPr>
      <w:bookmarkStart w:id="10" w:name="_Toc1800621970"/>
      <w:bookmarkStart w:id="11" w:name="_Toc1489482155"/>
      <w:bookmarkStart w:id="12" w:name="_Toc8349"/>
      <w:r>
        <w:rPr>
          <w:rFonts w:hint="eastAsia" w:ascii="楷体_GB2312" w:hAnsi="黑体" w:eastAsia="楷体_GB2312"/>
          <w:bCs/>
          <w:sz w:val="32"/>
          <w:szCs w:val="32"/>
        </w:rPr>
        <w:t>（二）规划目标</w:t>
      </w:r>
      <w:bookmarkEnd w:id="10"/>
      <w:bookmarkEnd w:id="11"/>
      <w:bookmarkEnd w:id="12"/>
    </w:p>
    <w:p>
      <w:pPr>
        <w:widowControl/>
        <w:spacing w:line="560" w:lineRule="exact"/>
        <w:ind w:firstLine="640" w:firstLineChars="200"/>
        <w:rPr>
          <w:rFonts w:ascii="仿宋_GB2312" w:hAnsi="Calibri" w:eastAsia="仿宋_GB2312"/>
          <w:sz w:val="32"/>
          <w:szCs w:val="32"/>
        </w:rPr>
      </w:pPr>
      <w:r>
        <w:rPr>
          <w:rFonts w:hint="eastAsia" w:ascii="仿宋_GB2312" w:hAnsi="Calibri" w:eastAsia="仿宋_GB2312"/>
          <w:sz w:val="32"/>
          <w:szCs w:val="32"/>
        </w:rPr>
        <w:t>到2030年，</w:t>
      </w:r>
      <w:r>
        <w:rPr>
          <w:rFonts w:hint="eastAsia" w:ascii="仿宋_GB2312" w:hAnsi="Calibri" w:eastAsia="仿宋_GB2312"/>
          <w:b/>
          <w:bCs/>
          <w:sz w:val="32"/>
          <w:szCs w:val="32"/>
        </w:rPr>
        <w:t>建立与中国特色社会主义先行示范区相适应的</w:t>
      </w:r>
      <w:bookmarkStart w:id="13" w:name="_Hlk198715791"/>
      <w:r>
        <w:rPr>
          <w:rFonts w:hint="eastAsia" w:ascii="仿宋_GB2312" w:hAnsi="Calibri" w:eastAsia="仿宋_GB2312"/>
          <w:b/>
          <w:bCs/>
          <w:sz w:val="32"/>
          <w:szCs w:val="32"/>
        </w:rPr>
        <w:t>超大型城市应急管理体系</w:t>
      </w:r>
      <w:bookmarkEnd w:id="13"/>
      <w:r>
        <w:rPr>
          <w:rFonts w:hint="eastAsia" w:ascii="仿宋_GB2312" w:hAnsi="Calibri" w:eastAsia="仿宋_GB2312"/>
          <w:sz w:val="32"/>
          <w:szCs w:val="32"/>
        </w:rPr>
        <w:t>，推动高质量发展和高水平安全良性互动，依法应急、科学应急、智慧应急水平显著提升，基层应急管理能力显著增强，形成共建共治共享的应急管理新格局。</w:t>
      </w:r>
    </w:p>
    <w:p>
      <w:pPr>
        <w:widowControl/>
        <w:spacing w:line="560" w:lineRule="exact"/>
        <w:ind w:firstLine="640" w:firstLineChars="200"/>
        <w:rPr>
          <w:rFonts w:ascii="仿宋_GB2312" w:hAnsi="Calibri" w:eastAsia="仿宋_GB2312"/>
          <w:sz w:val="32"/>
          <w:szCs w:val="32"/>
        </w:rPr>
      </w:pPr>
    </w:p>
    <w:p>
      <w:pPr>
        <w:widowControl/>
        <w:spacing w:line="560" w:lineRule="exact"/>
        <w:ind w:firstLine="640" w:firstLineChars="200"/>
        <w:rPr>
          <w:rFonts w:ascii="仿宋_GB2312" w:hAnsi="Calibri" w:eastAsia="仿宋_GB2312"/>
          <w:sz w:val="32"/>
          <w:szCs w:val="32"/>
        </w:rPr>
      </w:pPr>
    </w:p>
    <w:p>
      <w:pPr>
        <w:widowControl/>
        <w:spacing w:line="560" w:lineRule="exact"/>
        <w:ind w:firstLine="640" w:firstLineChars="200"/>
        <w:rPr>
          <w:rFonts w:ascii="仿宋_GB2312" w:hAnsi="Calibri" w:eastAsia="仿宋_GB2312"/>
          <w:sz w:val="32"/>
          <w:szCs w:val="32"/>
        </w:rPr>
      </w:pPr>
    </w:p>
    <w:p>
      <w:pPr>
        <w:widowControl/>
        <w:spacing w:line="560" w:lineRule="exact"/>
        <w:ind w:firstLine="640" w:firstLineChars="200"/>
        <w:rPr>
          <w:rFonts w:ascii="仿宋_GB2312" w:hAnsi="Calibri" w:eastAsia="仿宋_GB2312"/>
          <w:bCs/>
          <w:sz w:val="32"/>
          <w:szCs w:val="32"/>
        </w:rPr>
      </w:pPr>
    </w:p>
    <w:tbl>
      <w:tblPr>
        <w:tblStyle w:val="26"/>
        <w:tblW w:w="8628" w:type="dxa"/>
        <w:jc w:val="center"/>
        <w:tblLayout w:type="fixed"/>
        <w:tblCellMar>
          <w:top w:w="0" w:type="dxa"/>
          <w:left w:w="108" w:type="dxa"/>
          <w:bottom w:w="0" w:type="dxa"/>
          <w:right w:w="108" w:type="dxa"/>
        </w:tblCellMar>
      </w:tblPr>
      <w:tblGrid>
        <w:gridCol w:w="362"/>
        <w:gridCol w:w="362"/>
        <w:gridCol w:w="3921"/>
        <w:gridCol w:w="1890"/>
        <w:gridCol w:w="2093"/>
      </w:tblGrid>
      <w:tr>
        <w:tblPrEx>
          <w:tblCellMar>
            <w:top w:w="0" w:type="dxa"/>
            <w:left w:w="108" w:type="dxa"/>
            <w:bottom w:w="0" w:type="dxa"/>
            <w:right w:w="108" w:type="dxa"/>
          </w:tblCellMar>
        </w:tblPrEx>
        <w:trPr>
          <w:trHeight w:val="57" w:hRule="atLeast"/>
          <w:tblHeader/>
          <w:jc w:val="center"/>
        </w:trPr>
        <w:tc>
          <w:tcPr>
            <w:tcW w:w="8628" w:type="dxa"/>
            <w:gridSpan w:val="5"/>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tLeast"/>
              <w:jc w:val="center"/>
              <w:textAlignment w:val="center"/>
              <w:rPr>
                <w:rFonts w:hint="eastAsia" w:ascii="仿宋_GB2312" w:hAnsi="仿宋_GB2312" w:eastAsia="仿宋_GB2312" w:cs="仿宋_GB2312"/>
                <w:b/>
                <w:sz w:val="24"/>
                <w:szCs w:val="24"/>
                <w:lang w:bidi="ar"/>
              </w:rPr>
            </w:pPr>
            <w:bookmarkStart w:id="14" w:name="_Hlk232097914"/>
            <w:r>
              <w:rPr>
                <w:rFonts w:hint="eastAsia" w:ascii="仿宋_GB2312" w:hAnsi="仿宋_GB2312" w:eastAsia="仿宋_GB2312" w:cs="仿宋_GB2312"/>
                <w:b/>
                <w:sz w:val="24"/>
                <w:szCs w:val="24"/>
                <w:lang w:bidi="ar"/>
              </w:rPr>
              <w:t>专栏1 “十五五”应急管理</w:t>
            </w:r>
            <w:r>
              <w:rPr>
                <w:rFonts w:ascii="仿宋_GB2312" w:hAnsi="仿宋_GB2312" w:eastAsia="仿宋_GB2312" w:cs="仿宋_GB2312"/>
                <w:b/>
                <w:sz w:val="24"/>
                <w:szCs w:val="24"/>
                <w:lang w:bidi="ar"/>
              </w:rPr>
              <w:t>主要指标</w:t>
            </w:r>
          </w:p>
        </w:tc>
      </w:tr>
      <w:tr>
        <w:tblPrEx>
          <w:tblCellMar>
            <w:top w:w="0" w:type="dxa"/>
            <w:left w:w="108" w:type="dxa"/>
            <w:bottom w:w="0" w:type="dxa"/>
            <w:right w:w="108" w:type="dxa"/>
          </w:tblCellMar>
        </w:tblPrEx>
        <w:trPr>
          <w:trHeight w:val="57" w:hRule="atLeast"/>
          <w:tblHeader/>
          <w:jc w:val="center"/>
        </w:trPr>
        <w:tc>
          <w:tcPr>
            <w:tcW w:w="362"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tLeast"/>
              <w:jc w:val="center"/>
              <w:textAlignment w:val="center"/>
              <w:rPr>
                <w:rFonts w:hint="eastAsia" w:ascii="仿宋_GB2312" w:hAnsi="仿宋_GB2312" w:eastAsia="仿宋_GB2312" w:cs="仿宋_GB2312"/>
                <w:b/>
                <w:sz w:val="24"/>
                <w:szCs w:val="24"/>
              </w:rPr>
            </w:pPr>
            <w:r>
              <w:rPr>
                <w:rFonts w:ascii="仿宋_GB2312" w:hAnsi="仿宋_GB2312" w:eastAsia="仿宋_GB2312" w:cs="仿宋_GB2312"/>
                <w:b/>
                <w:sz w:val="24"/>
                <w:szCs w:val="24"/>
                <w:lang w:bidi="ar"/>
              </w:rPr>
              <w:t>序号</w:t>
            </w:r>
          </w:p>
        </w:tc>
        <w:tc>
          <w:tcPr>
            <w:tcW w:w="4283" w:type="dxa"/>
            <w:gridSpan w:val="2"/>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tLeast"/>
              <w:jc w:val="center"/>
              <w:textAlignment w:val="center"/>
              <w:rPr>
                <w:rFonts w:hint="eastAsia" w:ascii="仿宋_GB2312" w:hAnsi="仿宋_GB2312" w:eastAsia="仿宋_GB2312" w:cs="仿宋_GB2312"/>
                <w:b/>
                <w:sz w:val="24"/>
                <w:szCs w:val="24"/>
              </w:rPr>
            </w:pPr>
            <w:r>
              <w:rPr>
                <w:rFonts w:ascii="仿宋_GB2312" w:hAnsi="仿宋_GB2312" w:eastAsia="仿宋_GB2312" w:cs="仿宋_GB2312"/>
                <w:b/>
                <w:sz w:val="24"/>
                <w:szCs w:val="24"/>
                <w:lang w:bidi="ar"/>
              </w:rPr>
              <w:t>指标</w:t>
            </w:r>
          </w:p>
        </w:tc>
        <w:tc>
          <w:tcPr>
            <w:tcW w:w="1890"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tLeast"/>
              <w:jc w:val="center"/>
              <w:textAlignment w:val="center"/>
              <w:rPr>
                <w:rFonts w:hint="eastAsia" w:ascii="仿宋_GB2312" w:hAnsi="仿宋_GB2312" w:eastAsia="仿宋_GB2312" w:cs="仿宋_GB2312"/>
                <w:b/>
                <w:sz w:val="24"/>
                <w:szCs w:val="24"/>
                <w:lang w:bidi="ar"/>
              </w:rPr>
            </w:pPr>
            <w:r>
              <w:rPr>
                <w:rFonts w:ascii="仿宋_GB2312" w:hAnsi="仿宋_GB2312" w:eastAsia="仿宋_GB2312" w:cs="仿宋_GB2312"/>
                <w:b/>
                <w:sz w:val="24"/>
                <w:szCs w:val="24"/>
                <w:lang w:bidi="ar"/>
              </w:rPr>
              <w:t>2025年基期值</w:t>
            </w:r>
          </w:p>
        </w:tc>
        <w:tc>
          <w:tcPr>
            <w:tcW w:w="2093" w:type="dxa"/>
            <w:tcBorders>
              <w:top w:val="single" w:color="000000" w:sz="4" w:space="0"/>
              <w:left w:val="single" w:color="000000" w:sz="4" w:space="0"/>
              <w:bottom w:val="single" w:color="000000" w:sz="4" w:space="0"/>
              <w:right w:val="single" w:color="000000" w:sz="4" w:space="0"/>
            </w:tcBorders>
            <w:noWrap/>
            <w:vAlign w:val="center"/>
          </w:tcPr>
          <w:p>
            <w:pPr>
              <w:widowControl/>
              <w:spacing w:line="240" w:lineRule="atLeast"/>
              <w:jc w:val="center"/>
              <w:textAlignment w:val="center"/>
              <w:rPr>
                <w:rFonts w:hint="eastAsia" w:ascii="仿宋_GB2312" w:hAnsi="仿宋_GB2312" w:eastAsia="仿宋_GB2312" w:cs="仿宋_GB2312"/>
                <w:b/>
                <w:sz w:val="24"/>
                <w:szCs w:val="24"/>
              </w:rPr>
            </w:pPr>
            <w:r>
              <w:rPr>
                <w:rFonts w:ascii="仿宋_GB2312" w:hAnsi="仿宋_GB2312" w:eastAsia="仿宋_GB2312" w:cs="仿宋_GB2312"/>
                <w:b/>
                <w:sz w:val="24"/>
                <w:szCs w:val="24"/>
                <w:lang w:bidi="ar"/>
              </w:rPr>
              <w:t>2030年目标值</w:t>
            </w:r>
          </w:p>
        </w:tc>
      </w:tr>
      <w:tr>
        <w:tblPrEx>
          <w:tblCellMar>
            <w:top w:w="0" w:type="dxa"/>
            <w:left w:w="108" w:type="dxa"/>
            <w:bottom w:w="0" w:type="dxa"/>
            <w:right w:w="108" w:type="dxa"/>
          </w:tblCellMar>
        </w:tblPrEx>
        <w:trPr>
          <w:trHeight w:val="57" w:hRule="atLeast"/>
          <w:jc w:val="center"/>
        </w:trPr>
        <w:tc>
          <w:tcPr>
            <w:tcW w:w="36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rPr>
            </w:pPr>
            <w:r>
              <w:rPr>
                <w:rFonts w:ascii="仿宋_GB2312" w:hAnsi="仿宋_GB2312" w:eastAsia="仿宋_GB2312" w:cs="仿宋_GB2312"/>
                <w:sz w:val="24"/>
                <w:szCs w:val="24"/>
                <w:lang w:bidi="ar"/>
              </w:rPr>
              <w:t>1</w:t>
            </w:r>
          </w:p>
        </w:tc>
        <w:tc>
          <w:tcPr>
            <w:tcW w:w="362" w:type="dxa"/>
            <w:vMerge w:val="restart"/>
            <w:tcBorders>
              <w:top w:val="single" w:color="000000" w:sz="4" w:space="0"/>
              <w:left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安全生产</w:t>
            </w:r>
          </w:p>
        </w:tc>
        <w:tc>
          <w:tcPr>
            <w:tcW w:w="392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textAlignment w:val="center"/>
              <w:rPr>
                <w:rFonts w:hint="eastAsia" w:ascii="仿宋_GB2312" w:hAnsi="仿宋_GB2312" w:eastAsia="仿宋_GB2312" w:cs="仿宋_GB2312"/>
                <w:sz w:val="24"/>
                <w:szCs w:val="24"/>
              </w:rPr>
            </w:pPr>
            <w:r>
              <w:rPr>
                <w:rFonts w:ascii="仿宋_GB2312" w:hAnsi="仿宋_GB2312" w:eastAsia="仿宋_GB2312" w:cs="仿宋_GB2312"/>
                <w:sz w:val="24"/>
                <w:szCs w:val="24"/>
                <w:lang w:bidi="ar"/>
              </w:rPr>
              <w:t>亿元</w:t>
            </w:r>
            <w:r>
              <w:rPr>
                <w:rFonts w:hint="eastAsia" w:ascii="仿宋_GB2312" w:hAnsi="仿宋_GB2312" w:eastAsia="仿宋_GB2312" w:cs="仿宋_GB2312"/>
                <w:sz w:val="24"/>
                <w:szCs w:val="24"/>
                <w:lang w:bidi="ar"/>
              </w:rPr>
              <w:t>GDP</w:t>
            </w:r>
            <w:r>
              <w:rPr>
                <w:rFonts w:ascii="仿宋_GB2312" w:hAnsi="仿宋_GB2312" w:eastAsia="仿宋_GB2312" w:cs="仿宋_GB2312"/>
                <w:sz w:val="24"/>
                <w:szCs w:val="24"/>
                <w:lang w:bidi="ar"/>
              </w:rPr>
              <w:t>生产安全事故死亡率</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ascii="仿宋_GB2312" w:hAnsi="仿宋_GB2312" w:eastAsia="仿宋_GB2312" w:cs="仿宋_GB2312"/>
                <w:sz w:val="24"/>
                <w:szCs w:val="24"/>
                <w:lang w:bidi="ar"/>
              </w:rPr>
              <w:t>0.0035</w:t>
            </w:r>
          </w:p>
        </w:tc>
        <w:tc>
          <w:tcPr>
            <w:tcW w:w="209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rPr>
                <w:rFonts w:hint="eastAsia" w:ascii="仿宋_GB2312" w:hAnsi="仿宋_GB2312" w:eastAsia="仿宋_GB2312" w:cs="仿宋_GB2312"/>
                <w:sz w:val="24"/>
                <w:szCs w:val="24"/>
              </w:rPr>
            </w:pPr>
            <w:r>
              <w:rPr>
                <w:rFonts w:ascii="仿宋_GB2312" w:hAnsi="仿宋_GB2312" w:eastAsia="仿宋_GB2312" w:cs="仿宋_GB2312"/>
                <w:sz w:val="24"/>
                <w:szCs w:val="24"/>
                <w:lang w:bidi="ar"/>
              </w:rPr>
              <w:t>≤0.003</w:t>
            </w:r>
          </w:p>
        </w:tc>
      </w:tr>
      <w:tr>
        <w:tblPrEx>
          <w:tblCellMar>
            <w:top w:w="0" w:type="dxa"/>
            <w:left w:w="108" w:type="dxa"/>
            <w:bottom w:w="0" w:type="dxa"/>
            <w:right w:w="108" w:type="dxa"/>
          </w:tblCellMar>
        </w:tblPrEx>
        <w:trPr>
          <w:trHeight w:val="57" w:hRule="atLeast"/>
          <w:jc w:val="center"/>
        </w:trPr>
        <w:tc>
          <w:tcPr>
            <w:tcW w:w="36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ascii="仿宋_GB2312" w:hAnsi="仿宋_GB2312" w:eastAsia="仿宋_GB2312" w:cs="仿宋_GB2312"/>
                <w:sz w:val="24"/>
                <w:szCs w:val="24"/>
                <w:lang w:bidi="ar"/>
              </w:rPr>
              <w:t>2</w:t>
            </w:r>
          </w:p>
        </w:tc>
        <w:tc>
          <w:tcPr>
            <w:tcW w:w="362" w:type="dxa"/>
            <w:vMerge w:val="continue"/>
            <w:tcBorders>
              <w:left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p>
        </w:tc>
        <w:tc>
          <w:tcPr>
            <w:tcW w:w="392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textAlignment w:val="center"/>
              <w:rPr>
                <w:rFonts w:hint="eastAsia" w:ascii="仿宋_GB2312" w:hAnsi="仿宋_GB2312" w:eastAsia="仿宋_GB2312" w:cs="仿宋_GB2312"/>
                <w:sz w:val="24"/>
                <w:szCs w:val="24"/>
                <w:lang w:bidi="ar"/>
              </w:rPr>
            </w:pPr>
            <w:r>
              <w:rPr>
                <w:rFonts w:hint="eastAsia" w:ascii="仿宋_GB2312" w:hAnsi="仿宋_GB2312" w:eastAsia="仿宋_GB2312" w:cs="仿宋_GB2312"/>
                <w:color w:val="000000"/>
                <w:sz w:val="24"/>
                <w:szCs w:val="21"/>
                <w:lang w:bidi="ar"/>
              </w:rPr>
              <w:t>年均</w:t>
            </w:r>
            <w:r>
              <w:rPr>
                <w:rFonts w:ascii="仿宋_GB2312" w:hAnsi="仿宋_GB2312" w:eastAsia="仿宋_GB2312" w:cs="仿宋_GB2312"/>
                <w:color w:val="000000"/>
                <w:sz w:val="24"/>
                <w:szCs w:val="21"/>
                <w:lang w:eastAsia="zh" w:bidi="ar"/>
              </w:rPr>
              <w:t>十</w:t>
            </w:r>
            <w:r>
              <w:rPr>
                <w:rFonts w:ascii="仿宋_GB2312" w:hAnsi="仿宋_GB2312" w:eastAsia="仿宋_GB2312" w:cs="仿宋_GB2312"/>
                <w:color w:val="000000"/>
                <w:sz w:val="24"/>
                <w:szCs w:val="21"/>
                <w:lang w:bidi="ar"/>
              </w:rPr>
              <w:t>万人口火灾死亡率</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color w:val="000000"/>
                <w:sz w:val="24"/>
                <w:szCs w:val="21"/>
                <w:lang w:bidi="ar"/>
              </w:rPr>
            </w:pPr>
            <w:r>
              <w:rPr>
                <w:rFonts w:hint="eastAsia" w:ascii="Times New Roman" w:hAnsi="Times New Roman" w:eastAsia="仿宋_GB2312" w:cs="仿宋_GB2312"/>
                <w:color w:val="000000"/>
                <w:kern w:val="0"/>
                <w:szCs w:val="21"/>
              </w:rPr>
              <w:t>{</w:t>
            </w:r>
            <w:r>
              <w:rPr>
                <w:rFonts w:hint="eastAsia" w:ascii="仿宋_GB2312" w:hAnsi="仿宋_GB2312" w:eastAsia="仿宋_GB2312" w:cs="仿宋_GB2312"/>
                <w:color w:val="000000"/>
                <w:sz w:val="24"/>
                <w:szCs w:val="21"/>
                <w:lang w:bidi="ar"/>
              </w:rPr>
              <w:t>0.01</w:t>
            </w:r>
            <w:r>
              <w:rPr>
                <w:rFonts w:hint="eastAsia" w:ascii="仿宋_GB2312" w:hAnsi="仿宋_GB2312" w:eastAsia="仿宋_GB2312" w:cs="仿宋_GB2312"/>
                <w:color w:val="000000"/>
                <w:sz w:val="24"/>
                <w:szCs w:val="21"/>
                <w:lang w:val="en-US" w:eastAsia="zh-CN" w:bidi="ar"/>
              </w:rPr>
              <w:t>12</w:t>
            </w:r>
            <w:r>
              <w:rPr>
                <w:rFonts w:hint="eastAsia" w:ascii="Times New Roman" w:hAnsi="Times New Roman" w:eastAsia="仿宋_GB2312" w:cs="仿宋_GB2312"/>
                <w:color w:val="000000"/>
                <w:kern w:val="0"/>
                <w:szCs w:val="21"/>
              </w:rPr>
              <w:t>}</w:t>
            </w:r>
          </w:p>
        </w:tc>
        <w:tc>
          <w:tcPr>
            <w:tcW w:w="209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≤0.</w:t>
            </w:r>
            <w:r>
              <w:rPr>
                <w:rFonts w:hint="eastAsia" w:ascii="仿宋_GB2312" w:hAnsi="仿宋_GB2312" w:eastAsia="仿宋_GB2312" w:cs="仿宋_GB2312"/>
                <w:sz w:val="24"/>
                <w:szCs w:val="24"/>
                <w:lang w:val="en-US" w:eastAsia="zh-CN"/>
              </w:rPr>
              <w:t>08</w:t>
            </w:r>
          </w:p>
        </w:tc>
      </w:tr>
      <w:tr>
        <w:tblPrEx>
          <w:tblCellMar>
            <w:top w:w="0" w:type="dxa"/>
            <w:left w:w="108" w:type="dxa"/>
            <w:bottom w:w="0" w:type="dxa"/>
            <w:right w:w="108" w:type="dxa"/>
          </w:tblCellMar>
        </w:tblPrEx>
        <w:trPr>
          <w:trHeight w:val="57" w:hRule="atLeast"/>
          <w:jc w:val="center"/>
        </w:trPr>
        <w:tc>
          <w:tcPr>
            <w:tcW w:w="36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ascii="仿宋_GB2312" w:hAnsi="仿宋_GB2312" w:eastAsia="仿宋_GB2312" w:cs="仿宋_GB2312"/>
                <w:sz w:val="24"/>
                <w:szCs w:val="24"/>
                <w:lang w:bidi="ar"/>
              </w:rPr>
              <w:t>3</w:t>
            </w:r>
          </w:p>
        </w:tc>
        <w:tc>
          <w:tcPr>
            <w:tcW w:w="362" w:type="dxa"/>
            <w:vMerge w:val="continue"/>
            <w:tcBorders>
              <w:left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p>
        </w:tc>
        <w:tc>
          <w:tcPr>
            <w:tcW w:w="392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textAlignment w:val="center"/>
              <w:rPr>
                <w:rFonts w:hint="eastAsia" w:ascii="仿宋_GB2312" w:hAnsi="仿宋_GB2312" w:eastAsia="仿宋_GB2312"/>
                <w:color w:val="000000"/>
                <w:sz w:val="24"/>
                <w:szCs w:val="21"/>
              </w:rPr>
            </w:pPr>
            <w:r>
              <w:rPr>
                <w:rFonts w:ascii="仿宋_GB2312" w:hAnsi="仿宋_GB2312" w:eastAsia="仿宋_GB2312"/>
                <w:color w:val="000000"/>
                <w:sz w:val="24"/>
                <w:szCs w:val="21"/>
              </w:rPr>
              <w:t>道路交通万车死亡率</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olor w:val="000000"/>
                <w:sz w:val="24"/>
                <w:szCs w:val="21"/>
              </w:rPr>
            </w:pPr>
            <w:r>
              <w:rPr>
                <w:rFonts w:ascii="仿宋_GB2312" w:hAnsi="仿宋_GB2312" w:eastAsia="仿宋_GB2312"/>
                <w:color w:val="000000"/>
                <w:sz w:val="24"/>
                <w:szCs w:val="21"/>
              </w:rPr>
              <w:t>0.35</w:t>
            </w:r>
            <w:r>
              <w:rPr>
                <w:rFonts w:hint="eastAsia" w:ascii="仿宋_GB2312" w:hAnsi="仿宋_GB2312" w:eastAsia="仿宋_GB2312"/>
                <w:color w:val="000000"/>
                <w:sz w:val="24"/>
                <w:szCs w:val="21"/>
              </w:rPr>
              <w:t>*</w:t>
            </w:r>
          </w:p>
        </w:tc>
        <w:tc>
          <w:tcPr>
            <w:tcW w:w="209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≤0.33</w:t>
            </w:r>
          </w:p>
        </w:tc>
      </w:tr>
      <w:tr>
        <w:tblPrEx>
          <w:tblCellMar>
            <w:top w:w="0" w:type="dxa"/>
            <w:left w:w="108" w:type="dxa"/>
            <w:bottom w:w="0" w:type="dxa"/>
            <w:right w:w="108" w:type="dxa"/>
          </w:tblCellMar>
        </w:tblPrEx>
        <w:trPr>
          <w:trHeight w:val="57" w:hRule="atLeast"/>
          <w:jc w:val="center"/>
        </w:trPr>
        <w:tc>
          <w:tcPr>
            <w:tcW w:w="36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ascii="仿宋_GB2312" w:hAnsi="仿宋_GB2312" w:eastAsia="仿宋_GB2312" w:cs="仿宋_GB2312"/>
                <w:sz w:val="24"/>
                <w:szCs w:val="24"/>
                <w:lang w:bidi="ar"/>
              </w:rPr>
              <w:t>4</w:t>
            </w:r>
          </w:p>
        </w:tc>
        <w:tc>
          <w:tcPr>
            <w:tcW w:w="362" w:type="dxa"/>
            <w:vMerge w:val="continue"/>
            <w:tcBorders>
              <w:left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p>
        </w:tc>
        <w:tc>
          <w:tcPr>
            <w:tcW w:w="392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textAlignment w:val="center"/>
              <w:rPr>
                <w:rFonts w:hint="eastAsia" w:ascii="仿宋_GB2312" w:hAnsi="仿宋_GB2312" w:eastAsia="仿宋_GB2312"/>
                <w:color w:val="000000"/>
                <w:sz w:val="24"/>
                <w:szCs w:val="21"/>
              </w:rPr>
            </w:pPr>
            <w:r>
              <w:rPr>
                <w:rFonts w:ascii="仿宋_GB2312" w:hAnsi="仿宋_GB2312" w:eastAsia="仿宋_GB2312"/>
                <w:color w:val="000000"/>
                <w:sz w:val="24"/>
                <w:szCs w:val="21"/>
              </w:rPr>
              <w:t>百亿元建筑业产值安全事故死亡率</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olor w:val="000000"/>
                <w:sz w:val="24"/>
                <w:szCs w:val="21"/>
              </w:rPr>
            </w:pPr>
            <w:r>
              <w:rPr>
                <w:rFonts w:ascii="仿宋_GB2312" w:hAnsi="仿宋_GB2312" w:eastAsia="仿宋_GB2312"/>
                <w:color w:val="000000"/>
                <w:sz w:val="24"/>
                <w:szCs w:val="21"/>
              </w:rPr>
              <w:t>0.</w:t>
            </w:r>
            <w:r>
              <w:rPr>
                <w:rFonts w:hint="eastAsia" w:ascii="仿宋_GB2312" w:hAnsi="仿宋_GB2312" w:eastAsia="仿宋_GB2312"/>
                <w:color w:val="000000"/>
                <w:sz w:val="24"/>
                <w:szCs w:val="21"/>
              </w:rPr>
              <w:t>77</w:t>
            </w:r>
          </w:p>
        </w:tc>
        <w:tc>
          <w:tcPr>
            <w:tcW w:w="209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rPr>
                <w:rFonts w:hint="eastAsia" w:ascii="仿宋_GB2312" w:hAnsi="仿宋_GB2312" w:eastAsia="仿宋_GB2312" w:cs="仿宋_GB2312"/>
                <w:sz w:val="24"/>
                <w:szCs w:val="24"/>
              </w:rPr>
            </w:pPr>
            <w:r>
              <w:rPr>
                <w:rFonts w:ascii="仿宋_GB2312" w:hAnsi="仿宋_GB2312" w:eastAsia="仿宋_GB2312" w:cs="仿宋_GB2312"/>
                <w:sz w:val="24"/>
                <w:szCs w:val="24"/>
              </w:rPr>
              <w:t>≤0.</w:t>
            </w:r>
            <w:r>
              <w:rPr>
                <w:rFonts w:hint="eastAsia" w:ascii="仿宋_GB2312" w:hAnsi="仿宋_GB2312" w:eastAsia="仿宋_GB2312" w:cs="仿宋_GB2312"/>
                <w:sz w:val="24"/>
                <w:szCs w:val="24"/>
              </w:rPr>
              <w:t>71</w:t>
            </w:r>
          </w:p>
        </w:tc>
      </w:tr>
      <w:tr>
        <w:tblPrEx>
          <w:tblCellMar>
            <w:top w:w="0" w:type="dxa"/>
            <w:left w:w="108" w:type="dxa"/>
            <w:bottom w:w="0" w:type="dxa"/>
            <w:right w:w="108" w:type="dxa"/>
          </w:tblCellMar>
        </w:tblPrEx>
        <w:trPr>
          <w:trHeight w:val="57" w:hRule="atLeast"/>
          <w:jc w:val="center"/>
        </w:trPr>
        <w:tc>
          <w:tcPr>
            <w:tcW w:w="36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ascii="仿宋_GB2312" w:hAnsi="仿宋_GB2312" w:eastAsia="仿宋_GB2312" w:cs="仿宋_GB2312"/>
                <w:sz w:val="24"/>
                <w:szCs w:val="24"/>
                <w:lang w:bidi="ar"/>
              </w:rPr>
              <w:t>5</w:t>
            </w:r>
          </w:p>
        </w:tc>
        <w:tc>
          <w:tcPr>
            <w:tcW w:w="362" w:type="dxa"/>
            <w:vMerge w:val="continue"/>
            <w:tcBorders>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p>
        </w:tc>
        <w:tc>
          <w:tcPr>
            <w:tcW w:w="392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textAlignment w:val="center"/>
              <w:rPr>
                <w:rFonts w:hint="eastAsia" w:ascii="仿宋_GB2312" w:hAnsi="仿宋_GB2312" w:eastAsia="仿宋_GB2312" w:cs="仿宋_GB2312"/>
                <w:sz w:val="24"/>
                <w:szCs w:val="24"/>
                <w:lang w:bidi="ar"/>
              </w:rPr>
            </w:pPr>
            <w:r>
              <w:rPr>
                <w:rFonts w:ascii="仿宋_GB2312" w:hAnsi="仿宋_GB2312" w:eastAsia="仿宋_GB2312" w:cs="仿宋_GB2312"/>
                <w:sz w:val="24"/>
                <w:szCs w:val="24"/>
                <w:lang w:bidi="ar"/>
              </w:rPr>
              <w:t>万台特种设备死亡率</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val="en-US" w:eastAsia="zh-CN" w:bidi="ar"/>
              </w:rPr>
            </w:pPr>
            <w:r>
              <w:rPr>
                <w:rFonts w:ascii="仿宋_GB2312" w:hAnsi="仿宋_GB2312" w:eastAsia="仿宋_GB2312" w:cs="仿宋_GB2312"/>
                <w:sz w:val="24"/>
                <w:szCs w:val="24"/>
                <w:lang w:bidi="ar"/>
              </w:rPr>
              <w:t>0.068</w:t>
            </w:r>
            <w:r>
              <w:rPr>
                <w:rFonts w:hint="eastAsia" w:ascii="仿宋_GB2312" w:hAnsi="仿宋_GB2312" w:eastAsia="仿宋_GB2312" w:cs="仿宋_GB2312"/>
                <w:sz w:val="24"/>
                <w:szCs w:val="24"/>
                <w:lang w:val="en-US" w:eastAsia="zh-CN" w:bidi="ar"/>
              </w:rPr>
              <w:t>*</w:t>
            </w:r>
          </w:p>
        </w:tc>
        <w:tc>
          <w:tcPr>
            <w:tcW w:w="209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ascii="仿宋_GB2312" w:hAnsi="仿宋_GB2312" w:eastAsia="仿宋_GB2312" w:cs="仿宋_GB2312"/>
                <w:sz w:val="24"/>
                <w:szCs w:val="24"/>
              </w:rPr>
              <w:t>≤0.06</w:t>
            </w:r>
          </w:p>
        </w:tc>
      </w:tr>
      <w:tr>
        <w:tblPrEx>
          <w:tblCellMar>
            <w:top w:w="0" w:type="dxa"/>
            <w:left w:w="108" w:type="dxa"/>
            <w:bottom w:w="0" w:type="dxa"/>
            <w:right w:w="108" w:type="dxa"/>
          </w:tblCellMar>
        </w:tblPrEx>
        <w:trPr>
          <w:trHeight w:val="57" w:hRule="atLeast"/>
          <w:jc w:val="center"/>
        </w:trPr>
        <w:tc>
          <w:tcPr>
            <w:tcW w:w="36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ascii="仿宋_GB2312" w:hAnsi="仿宋_GB2312" w:eastAsia="仿宋_GB2312" w:cs="仿宋_GB2312"/>
                <w:sz w:val="24"/>
                <w:szCs w:val="24"/>
                <w:lang w:bidi="ar"/>
              </w:rPr>
              <w:t>6</w:t>
            </w:r>
          </w:p>
        </w:tc>
        <w:tc>
          <w:tcPr>
            <w:tcW w:w="362" w:type="dxa"/>
            <w:vMerge w:val="restart"/>
            <w:tcBorders>
              <w:top w:val="single" w:color="000000" w:sz="4" w:space="0"/>
              <w:left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自然灾害</w:t>
            </w:r>
          </w:p>
        </w:tc>
        <w:tc>
          <w:tcPr>
            <w:tcW w:w="392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textAlignment w:val="center"/>
              <w:rPr>
                <w:rFonts w:hint="eastAsia" w:ascii="仿宋_GB2312" w:hAnsi="仿宋_GB2312" w:eastAsia="仿宋_GB2312" w:cs="仿宋_GB2312"/>
                <w:sz w:val="24"/>
                <w:szCs w:val="24"/>
              </w:rPr>
            </w:pPr>
            <w:r>
              <w:rPr>
                <w:rFonts w:ascii="仿宋_GB2312" w:hAnsi="仿宋_GB2312" w:eastAsia="仿宋_GB2312" w:cs="仿宋_GB2312"/>
                <w:sz w:val="24"/>
                <w:szCs w:val="24"/>
                <w:lang w:bidi="ar"/>
              </w:rPr>
              <w:t>年均每百万人口因自然灾害死亡率</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hint="eastAsia" w:ascii="Times New Roman" w:hAnsi="Times New Roman" w:eastAsia="仿宋_GB2312" w:cs="仿宋_GB2312"/>
                <w:color w:val="000000"/>
                <w:kern w:val="0"/>
                <w:szCs w:val="21"/>
              </w:rPr>
              <w:t>{</w:t>
            </w:r>
            <w:r>
              <w:rPr>
                <w:rFonts w:ascii="仿宋_GB2312" w:hAnsi="仿宋_GB2312" w:eastAsia="仿宋_GB2312" w:cs="仿宋_GB2312"/>
                <w:sz w:val="24"/>
                <w:szCs w:val="24"/>
                <w:lang w:bidi="ar"/>
              </w:rPr>
              <w:t>0</w:t>
            </w:r>
            <w:r>
              <w:rPr>
                <w:rFonts w:hint="eastAsia" w:ascii="Times New Roman" w:hAnsi="Times New Roman" w:eastAsia="仿宋_GB2312" w:cs="仿宋_GB2312"/>
                <w:color w:val="000000"/>
                <w:kern w:val="0"/>
                <w:szCs w:val="21"/>
              </w:rPr>
              <w:t>}</w:t>
            </w:r>
          </w:p>
        </w:tc>
        <w:tc>
          <w:tcPr>
            <w:tcW w:w="209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rPr>
                <w:rFonts w:hint="eastAsia" w:ascii="仿宋_GB2312" w:hAnsi="仿宋_GB2312" w:eastAsia="仿宋_GB2312" w:cs="仿宋_GB2312"/>
                <w:sz w:val="24"/>
                <w:szCs w:val="24"/>
              </w:rPr>
            </w:pPr>
            <w:r>
              <w:rPr>
                <w:rFonts w:ascii="仿宋_GB2312" w:hAnsi="仿宋_GB2312" w:eastAsia="仿宋_GB2312" w:cs="仿宋_GB2312"/>
                <w:sz w:val="24"/>
                <w:szCs w:val="24"/>
                <w:lang w:bidi="ar"/>
              </w:rPr>
              <w:t>≤0.5</w:t>
            </w:r>
          </w:p>
        </w:tc>
      </w:tr>
      <w:tr>
        <w:tblPrEx>
          <w:tblCellMar>
            <w:top w:w="0" w:type="dxa"/>
            <w:left w:w="108" w:type="dxa"/>
            <w:bottom w:w="0" w:type="dxa"/>
            <w:right w:w="108" w:type="dxa"/>
          </w:tblCellMar>
        </w:tblPrEx>
        <w:trPr>
          <w:trHeight w:val="57" w:hRule="atLeast"/>
          <w:jc w:val="center"/>
        </w:trPr>
        <w:tc>
          <w:tcPr>
            <w:tcW w:w="36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7</w:t>
            </w:r>
          </w:p>
        </w:tc>
        <w:tc>
          <w:tcPr>
            <w:tcW w:w="362" w:type="dxa"/>
            <w:vMerge w:val="continue"/>
            <w:tcBorders>
              <w:top w:val="single" w:color="000000" w:sz="4" w:space="0"/>
              <w:left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p>
        </w:tc>
        <w:tc>
          <w:tcPr>
            <w:tcW w:w="392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textAlignment w:val="center"/>
              <w:rPr>
                <w:rFonts w:hint="eastAsia" w:ascii="仿宋_GB2312" w:hAnsi="仿宋_GB2312" w:eastAsia="仿宋_GB2312" w:cs="仿宋_GB2312"/>
                <w:sz w:val="24"/>
                <w:szCs w:val="24"/>
                <w:lang w:bidi="ar"/>
              </w:rPr>
            </w:pPr>
            <w:r>
              <w:rPr>
                <w:rFonts w:ascii="仿宋_GB2312" w:hAnsi="仿宋_GB2312" w:eastAsia="仿宋_GB2312" w:cs="仿宋_GB2312"/>
                <w:sz w:val="24"/>
                <w:szCs w:val="24"/>
                <w:lang w:bidi="ar"/>
              </w:rPr>
              <w:t>年均因自然灾害直接经济损失占</w:t>
            </w:r>
            <w:r>
              <w:rPr>
                <w:rFonts w:hint="eastAsia" w:ascii="仿宋_GB2312" w:hAnsi="仿宋_GB2312" w:eastAsia="仿宋_GB2312" w:cs="仿宋_GB2312"/>
                <w:sz w:val="24"/>
                <w:szCs w:val="24"/>
                <w:lang w:bidi="ar"/>
              </w:rPr>
              <w:t>全市地区</w:t>
            </w:r>
            <w:r>
              <w:rPr>
                <w:rFonts w:ascii="仿宋_GB2312" w:hAnsi="仿宋_GB2312" w:eastAsia="仿宋_GB2312" w:cs="仿宋_GB2312"/>
                <w:sz w:val="24"/>
                <w:szCs w:val="24"/>
                <w:lang w:bidi="ar"/>
              </w:rPr>
              <w:t>生产总值比重</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hint="eastAsia" w:ascii="Times New Roman" w:hAnsi="Times New Roman" w:eastAsia="仿宋_GB2312" w:cs="仿宋_GB2312"/>
                <w:color w:val="000000"/>
                <w:kern w:val="0"/>
                <w:szCs w:val="21"/>
              </w:rPr>
              <w:t>{</w:t>
            </w:r>
            <w:r>
              <w:rPr>
                <w:rFonts w:ascii="仿宋_GB2312" w:hAnsi="仿宋_GB2312" w:eastAsia="仿宋_GB2312" w:cs="仿宋_GB2312"/>
                <w:sz w:val="24"/>
                <w:szCs w:val="24"/>
                <w:lang w:bidi="ar"/>
              </w:rPr>
              <w:t>0.0</w:t>
            </w:r>
            <w:r>
              <w:rPr>
                <w:rFonts w:hint="eastAsia" w:ascii="仿宋_GB2312" w:hAnsi="仿宋_GB2312" w:eastAsia="仿宋_GB2312" w:cs="仿宋_GB2312"/>
                <w:sz w:val="24"/>
                <w:szCs w:val="24"/>
                <w:lang w:val="en-US" w:eastAsia="zh-CN" w:bidi="ar"/>
              </w:rPr>
              <w:t>08</w:t>
            </w:r>
            <w:r>
              <w:rPr>
                <w:rFonts w:hint="eastAsia" w:ascii="仿宋_GB2312" w:hAnsi="仿宋_GB2312" w:eastAsia="仿宋_GB2312" w:cs="仿宋_GB2312"/>
                <w:sz w:val="24"/>
                <w:szCs w:val="24"/>
                <w:lang w:bidi="ar"/>
              </w:rPr>
              <w:t>%</w:t>
            </w:r>
            <w:r>
              <w:rPr>
                <w:rFonts w:hint="eastAsia" w:ascii="Times New Roman" w:hAnsi="Times New Roman" w:eastAsia="仿宋_GB2312" w:cs="仿宋_GB2312"/>
                <w:color w:val="000000"/>
                <w:kern w:val="0"/>
                <w:szCs w:val="21"/>
              </w:rPr>
              <w:t>}</w:t>
            </w:r>
          </w:p>
        </w:tc>
        <w:tc>
          <w:tcPr>
            <w:tcW w:w="209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rPr>
                <w:rFonts w:hint="eastAsia" w:ascii="仿宋_GB2312" w:hAnsi="仿宋_GB2312" w:eastAsia="仿宋_GB2312"/>
                <w:sz w:val="24"/>
                <w:szCs w:val="24"/>
              </w:rPr>
            </w:pPr>
            <w:r>
              <w:rPr>
                <w:rFonts w:hint="eastAsia" w:ascii="仿宋_GB2312" w:hAnsi="仿宋_GB2312" w:eastAsia="仿宋_GB2312"/>
                <w:sz w:val="24"/>
                <w:szCs w:val="24"/>
              </w:rPr>
              <w:t>≤0.2%</w:t>
            </w:r>
          </w:p>
        </w:tc>
      </w:tr>
      <w:tr>
        <w:tblPrEx>
          <w:tblCellMar>
            <w:top w:w="0" w:type="dxa"/>
            <w:left w:w="108" w:type="dxa"/>
            <w:bottom w:w="0" w:type="dxa"/>
            <w:right w:w="108" w:type="dxa"/>
          </w:tblCellMar>
        </w:tblPrEx>
        <w:trPr>
          <w:trHeight w:val="57" w:hRule="atLeast"/>
          <w:jc w:val="center"/>
        </w:trPr>
        <w:tc>
          <w:tcPr>
            <w:tcW w:w="36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8</w:t>
            </w:r>
          </w:p>
        </w:tc>
        <w:tc>
          <w:tcPr>
            <w:tcW w:w="362" w:type="dxa"/>
            <w:vMerge w:val="continue"/>
            <w:tcBorders>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rPr>
            </w:pPr>
          </w:p>
        </w:tc>
        <w:tc>
          <w:tcPr>
            <w:tcW w:w="392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textAlignment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年均每十万人受灾人次</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hint="eastAsia" w:ascii="Times New Roman" w:hAnsi="Times New Roman" w:eastAsia="仿宋_GB2312" w:cs="仿宋_GB2312"/>
                <w:color w:val="000000"/>
                <w:kern w:val="0"/>
                <w:szCs w:val="21"/>
              </w:rPr>
              <w:t>{</w:t>
            </w:r>
            <w:r>
              <w:rPr>
                <w:rFonts w:hint="eastAsia" w:ascii="仿宋_GB2312" w:hAnsi="仿宋_GB2312" w:eastAsia="仿宋_GB2312" w:cs="仿宋_GB2312"/>
                <w:sz w:val="24"/>
                <w:szCs w:val="24"/>
                <w:lang w:val="en-US" w:eastAsia="zh-CN" w:bidi="ar"/>
              </w:rPr>
              <w:t>804</w:t>
            </w:r>
            <w:r>
              <w:rPr>
                <w:rFonts w:hint="eastAsia" w:ascii="Times New Roman" w:hAnsi="Times New Roman" w:eastAsia="仿宋_GB2312" w:cs="仿宋_GB2312"/>
                <w:color w:val="000000"/>
                <w:kern w:val="0"/>
                <w:szCs w:val="21"/>
              </w:rPr>
              <w:t>}</w:t>
            </w:r>
          </w:p>
        </w:tc>
        <w:tc>
          <w:tcPr>
            <w:tcW w:w="209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rPr>
                <w:rFonts w:hint="eastAsia" w:ascii="仿宋_GB2312" w:hAnsi="仿宋_GB2312" w:eastAsia="仿宋_GB2312" w:cs="仿宋_GB2312"/>
                <w:sz w:val="24"/>
                <w:szCs w:val="24"/>
              </w:rPr>
            </w:pPr>
            <w:r>
              <w:rPr>
                <w:rFonts w:hint="eastAsia" w:ascii="仿宋_GB2312" w:hAnsi="仿宋_GB2312" w:eastAsia="仿宋_GB2312"/>
                <w:sz w:val="24"/>
                <w:szCs w:val="24"/>
              </w:rPr>
              <w:t>≤</w:t>
            </w:r>
            <w:r>
              <w:rPr>
                <w:rFonts w:hint="eastAsia" w:ascii="仿宋_GB2312" w:hAnsi="仿宋_GB2312" w:eastAsia="仿宋_GB2312" w:cs="仿宋_GB2312"/>
                <w:sz w:val="24"/>
                <w:szCs w:val="24"/>
              </w:rPr>
              <w:t>9000</w:t>
            </w:r>
          </w:p>
        </w:tc>
      </w:tr>
      <w:tr>
        <w:tblPrEx>
          <w:tblCellMar>
            <w:top w:w="0" w:type="dxa"/>
            <w:left w:w="108" w:type="dxa"/>
            <w:bottom w:w="0" w:type="dxa"/>
            <w:right w:w="108" w:type="dxa"/>
          </w:tblCellMar>
        </w:tblPrEx>
        <w:trPr>
          <w:trHeight w:val="57" w:hRule="atLeast"/>
          <w:jc w:val="center"/>
        </w:trPr>
        <w:tc>
          <w:tcPr>
            <w:tcW w:w="36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9</w:t>
            </w:r>
          </w:p>
        </w:tc>
        <w:tc>
          <w:tcPr>
            <w:tcW w:w="362" w:type="dxa"/>
            <w:vMerge w:val="continue"/>
            <w:tcBorders>
              <w:left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rPr>
            </w:pPr>
          </w:p>
        </w:tc>
        <w:tc>
          <w:tcPr>
            <w:tcW w:w="3921"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bidi="ar"/>
              </w:rPr>
              <w:t>安全韧性社区</w:t>
            </w:r>
            <w:r>
              <w:rPr>
                <w:rFonts w:hint="eastAsia" w:ascii="仿宋_GB2312" w:hAnsi="仿宋_GB2312" w:eastAsia="仿宋_GB2312" w:cs="仿宋_GB2312"/>
                <w:sz w:val="24"/>
                <w:szCs w:val="24"/>
                <w:lang w:eastAsia="zh-CN" w:bidi="ar"/>
              </w:rPr>
              <w:t>提升行动</w:t>
            </w:r>
            <w:bookmarkStart w:id="66" w:name="_GoBack"/>
            <w:r>
              <w:rPr>
                <w:rFonts w:hint="eastAsia" w:ascii="仿宋_GB2312" w:hAnsi="仿宋_GB2312" w:eastAsia="仿宋_GB2312" w:cs="仿宋_GB2312"/>
                <w:sz w:val="24"/>
                <w:szCs w:val="24"/>
                <w:lang w:bidi="ar"/>
              </w:rPr>
              <w:t>完成</w:t>
            </w:r>
            <w:bookmarkEnd w:id="66"/>
            <w:r>
              <w:rPr>
                <w:rFonts w:hint="eastAsia" w:ascii="仿宋_GB2312" w:hAnsi="仿宋_GB2312" w:eastAsia="仿宋_GB2312" w:cs="仿宋_GB2312"/>
                <w:sz w:val="24"/>
                <w:szCs w:val="24"/>
                <w:lang w:bidi="ar"/>
              </w:rPr>
              <w:t>率</w:t>
            </w:r>
          </w:p>
        </w:tc>
        <w:tc>
          <w:tcPr>
            <w:tcW w:w="1890"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textAlignment w:val="center"/>
              <w:rPr>
                <w:rFonts w:hint="eastAsia" w:ascii="仿宋_GB2312" w:hAnsi="仿宋_GB2312" w:eastAsia="仿宋_GB2312" w:cs="仿宋_GB2312"/>
                <w:sz w:val="24"/>
                <w:szCs w:val="24"/>
                <w:lang w:bidi="ar"/>
              </w:rPr>
            </w:pPr>
            <w:r>
              <w:rPr>
                <w:rFonts w:hint="eastAsia" w:ascii="仿宋_GB2312" w:hAnsi="仿宋_GB2312" w:eastAsia="仿宋_GB2312" w:cs="仿宋_GB2312"/>
                <w:sz w:val="24"/>
                <w:szCs w:val="24"/>
                <w:lang w:bidi="ar"/>
              </w:rPr>
              <w:t>13.4%</w:t>
            </w:r>
          </w:p>
        </w:tc>
        <w:tc>
          <w:tcPr>
            <w:tcW w:w="209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jc w:val="center"/>
              <w:rPr>
                <w:rFonts w:hint="eastAsia" w:ascii="仿宋_GB2312" w:hAnsi="仿宋_GB2312" w:eastAsia="仿宋_GB2312" w:cs="仿宋_GB2312"/>
                <w:sz w:val="24"/>
                <w:szCs w:val="24"/>
              </w:rPr>
            </w:pPr>
            <w:r>
              <w:rPr>
                <w:rFonts w:hint="eastAsia" w:ascii="Arial" w:hAnsi="Arial" w:eastAsia="仿宋_GB2312" w:cs="Arial"/>
                <w:sz w:val="24"/>
                <w:szCs w:val="24"/>
              </w:rPr>
              <w:t>≥</w:t>
            </w:r>
            <w:r>
              <w:rPr>
                <w:rFonts w:hint="eastAsia" w:ascii="仿宋_GB2312" w:hAnsi="仿宋_GB2312" w:eastAsia="仿宋_GB2312" w:cs="仿宋_GB2312"/>
                <w:sz w:val="24"/>
                <w:szCs w:val="24"/>
              </w:rPr>
              <w:t>50%</w:t>
            </w:r>
          </w:p>
        </w:tc>
      </w:tr>
      <w:tr>
        <w:tblPrEx>
          <w:tblCellMar>
            <w:top w:w="0" w:type="dxa"/>
            <w:left w:w="108" w:type="dxa"/>
            <w:bottom w:w="0" w:type="dxa"/>
            <w:right w:w="108" w:type="dxa"/>
          </w:tblCellMar>
        </w:tblPrEx>
        <w:trPr>
          <w:trHeight w:val="57" w:hRule="atLeast"/>
          <w:jc w:val="center"/>
        </w:trPr>
        <w:tc>
          <w:tcPr>
            <w:tcW w:w="8628" w:type="dxa"/>
            <w:gridSpan w:val="5"/>
            <w:tcBorders>
              <w:top w:val="single" w:color="000000" w:sz="4" w:space="0"/>
              <w:left w:val="single" w:color="000000" w:sz="4" w:space="0"/>
              <w:bottom w:val="single" w:color="000000" w:sz="4" w:space="0"/>
              <w:right w:val="single" w:color="000000" w:sz="4" w:space="0"/>
            </w:tcBorders>
            <w:vAlign w:val="center"/>
          </w:tcPr>
          <w:p>
            <w:pPr>
              <w:widowControl/>
              <w:spacing w:line="240" w:lineRule="atLeast"/>
              <w:rPr>
                <w:rFonts w:ascii="Arial" w:hAnsi="Arial" w:eastAsia="仿宋_GB2312" w:cs="Arial"/>
                <w:sz w:val="24"/>
                <w:szCs w:val="24"/>
              </w:rPr>
            </w:pPr>
            <w:bookmarkStart w:id="15" w:name="_Toc2087016584"/>
            <w:bookmarkStart w:id="16" w:name="_Toc30724"/>
            <w:bookmarkStart w:id="17" w:name="_Toc167788751"/>
            <w:r>
              <w:rPr>
                <w:rFonts w:hint="eastAsia" w:ascii="Arial" w:hAnsi="Arial" w:eastAsia="仿宋_GB2312" w:cs="Arial"/>
                <w:szCs w:val="21"/>
              </w:rPr>
              <w:t>注：标*为2024年数据，</w:t>
            </w:r>
            <w:r>
              <w:rPr>
                <w:rFonts w:hint="eastAsia" w:ascii="Times New Roman" w:hAnsi="Times New Roman" w:eastAsia="仿宋_GB2312" w:cs="仿宋_GB2312"/>
                <w:color w:val="000000"/>
                <w:kern w:val="0"/>
                <w:szCs w:val="21"/>
              </w:rPr>
              <w:t>带{ }数据为5年均值。</w:t>
            </w:r>
          </w:p>
        </w:tc>
      </w:tr>
      <w:bookmarkEnd w:id="14"/>
    </w:tbl>
    <w:p>
      <w:pPr>
        <w:widowControl/>
        <w:spacing w:line="560" w:lineRule="exact"/>
        <w:ind w:firstLine="640" w:firstLineChars="200"/>
        <w:outlineLvl w:val="1"/>
        <w:rPr>
          <w:rFonts w:hint="eastAsia" w:ascii="楷体_GB2312" w:hAnsi="黑体" w:eastAsia="楷体_GB2312"/>
          <w:bCs/>
          <w:sz w:val="32"/>
          <w:szCs w:val="32"/>
        </w:rPr>
      </w:pPr>
      <w:r>
        <w:rPr>
          <w:rFonts w:hint="eastAsia" w:ascii="楷体_GB2312" w:hAnsi="黑体" w:eastAsia="楷体_GB2312"/>
          <w:bCs/>
          <w:sz w:val="32"/>
          <w:szCs w:val="32"/>
        </w:rPr>
        <w:t>（三）发展策略</w:t>
      </w:r>
      <w:bookmarkEnd w:id="15"/>
      <w:bookmarkEnd w:id="16"/>
      <w:bookmarkEnd w:id="17"/>
    </w:p>
    <w:p>
      <w:pPr>
        <w:widowControl/>
        <w:spacing w:line="560" w:lineRule="exact"/>
        <w:ind w:firstLine="640" w:firstLineChars="200"/>
        <w:rPr>
          <w:rFonts w:hint="eastAsia" w:ascii="仿宋_GB2312" w:hAnsi="仿宋_GB2312" w:eastAsia="仿宋_GB2312" w:cs="仿宋_GB2312"/>
          <w:b/>
          <w:bCs/>
          <w:sz w:val="32"/>
          <w:szCs w:val="32"/>
        </w:rPr>
      </w:pPr>
      <w:r>
        <w:rPr>
          <w:rFonts w:hint="eastAsia" w:ascii="仿宋_GB2312" w:hAnsi="Times New Roman" w:eastAsia="仿宋_GB2312"/>
          <w:sz w:val="32"/>
          <w:szCs w:val="32"/>
        </w:rPr>
        <w:t>锚定“统筹发展和安全”“建立大安全大应急框架，完善公共安全体系，推动公共安全治理模式向事前预防转型”等战略部署，坚持</w:t>
      </w:r>
      <w:r>
        <w:rPr>
          <w:rFonts w:hint="eastAsia" w:ascii="仿宋_GB2312" w:hAnsi="Times New Roman" w:eastAsia="仿宋_GB2312"/>
          <w:b/>
          <w:bCs/>
          <w:sz w:val="32"/>
          <w:szCs w:val="32"/>
        </w:rPr>
        <w:t>“系统化、精细化、新质化、产业化、全民化”</w:t>
      </w:r>
      <w:r>
        <w:rPr>
          <w:rFonts w:hint="eastAsia" w:ascii="仿宋_GB2312" w:hAnsi="Times New Roman" w:eastAsia="仿宋_GB2312"/>
          <w:sz w:val="32"/>
          <w:szCs w:val="32"/>
        </w:rPr>
        <w:t>的发展策略。</w:t>
      </w:r>
    </w:p>
    <w:p>
      <w:pPr>
        <w:widowControl/>
        <w:spacing w:line="560" w:lineRule="exact"/>
        <w:ind w:firstLine="642"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一是强化系统治理</w:t>
      </w:r>
      <w:r>
        <w:rPr>
          <w:rFonts w:hint="eastAsia" w:ascii="仿宋_GB2312" w:hAnsi="仿宋_GB2312" w:eastAsia="仿宋_GB2312" w:cs="仿宋_GB2312"/>
          <w:sz w:val="32"/>
          <w:szCs w:val="32"/>
        </w:rPr>
        <w:t>。坚持问题导向、创新思维，立足全局视野，深化重点行业领域“一件事”全链条专项治理，实现从局部管理向整体治理、单向施策向综合治理、短期行动向长效机制的转型。</w:t>
      </w:r>
    </w:p>
    <w:p>
      <w:pPr>
        <w:widowControl/>
        <w:spacing w:line="56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二是实施精准施策</w:t>
      </w:r>
      <w:r>
        <w:rPr>
          <w:rFonts w:hint="eastAsia" w:ascii="仿宋_GB2312" w:hAnsi="仿宋_GB2312" w:eastAsia="仿宋_GB2312" w:cs="仿宋_GB2312"/>
          <w:sz w:val="32"/>
          <w:szCs w:val="32"/>
        </w:rPr>
        <w:t>。构建以风险管理为核心的事前预防模式，科学实施风险分级管控和隐患排查整治。实施“小切口”精细化立法立规，关注专项领域、聚焦具体问题，重点先行、专项突破，精准、高效、务实解决个性化安全问题。</w:t>
      </w:r>
    </w:p>
    <w:p>
      <w:pPr>
        <w:widowControl/>
        <w:spacing w:line="56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三是推进科技赋能</w:t>
      </w:r>
      <w:r>
        <w:rPr>
          <w:rFonts w:hint="eastAsia" w:ascii="仿宋_GB2312" w:hAnsi="仿宋_GB2312" w:eastAsia="仿宋_GB2312" w:cs="仿宋_GB2312"/>
          <w:sz w:val="32"/>
          <w:szCs w:val="32"/>
        </w:rPr>
        <w:t>。加速人工智能、大数据与应急管理深度融合，挖掘城市安全数据资源价值，拓展智能监测预警应用场景，研发救援处置关键技术装备，加速新质生产力向新质战斗力转化。</w:t>
      </w:r>
    </w:p>
    <w:p>
      <w:pPr>
        <w:widowControl/>
        <w:spacing w:line="56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四是促进产需融合。</w:t>
      </w:r>
      <w:r>
        <w:rPr>
          <w:rFonts w:hint="eastAsia" w:ascii="仿宋_GB2312" w:hAnsi="仿宋_GB2312" w:eastAsia="仿宋_GB2312" w:cs="仿宋_GB2312"/>
          <w:sz w:val="32"/>
          <w:szCs w:val="32"/>
        </w:rPr>
        <w:t>推动应急管理与战略新兴产业、未来产业联动发展，与城市更新改造、基础设施建设、民生社会发展深度绑定。通过政策激励培育应急产业集群，实现城市发展与应急保障能力双向提升。</w:t>
      </w:r>
    </w:p>
    <w:p>
      <w:pPr>
        <w:widowControl/>
        <w:spacing w:line="560"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五是筑牢全民防线。</w:t>
      </w:r>
      <w:r>
        <w:rPr>
          <w:rFonts w:hint="eastAsia" w:ascii="仿宋_GB2312" w:hAnsi="仿宋_GB2312" w:eastAsia="仿宋_GB2312" w:cs="仿宋_GB2312"/>
          <w:sz w:val="32"/>
          <w:szCs w:val="32"/>
        </w:rPr>
        <w:t>践行“人人讲安全、个个会应急”理念，创新分众化宣教模式，针对不同群体开展精准培训，突出抓好关键岗位和一线员工安全技能训练。搭建共建共治共享平台，激发各类主体参与热情，凝聚全社会合力，提升群防群治能力。</w:t>
      </w:r>
    </w:p>
    <w:p>
      <w:pPr>
        <w:pStyle w:val="12"/>
        <w:widowControl/>
        <w:spacing w:after="0" w:line="560" w:lineRule="exact"/>
        <w:ind w:firstLine="640" w:firstLineChars="200"/>
        <w:outlineLvl w:val="0"/>
        <w:rPr>
          <w:rFonts w:hint="eastAsia" w:ascii="黑体" w:hAnsi="黑体" w:eastAsia="黑体"/>
          <w:sz w:val="32"/>
          <w:szCs w:val="32"/>
        </w:rPr>
      </w:pPr>
      <w:bookmarkStart w:id="18" w:name="_Toc2098768511"/>
      <w:bookmarkStart w:id="19" w:name="_Toc650813610"/>
      <w:bookmarkStart w:id="20" w:name="_Toc23085"/>
      <w:bookmarkStart w:id="21" w:name="OLE_LINK16"/>
      <w:r>
        <w:rPr>
          <w:rFonts w:hint="eastAsia" w:ascii="黑体" w:hAnsi="黑体" w:eastAsia="黑体"/>
          <w:sz w:val="32"/>
          <w:szCs w:val="32"/>
        </w:rPr>
        <w:t>二、重点任务</w:t>
      </w:r>
      <w:bookmarkEnd w:id="18"/>
      <w:bookmarkEnd w:id="19"/>
      <w:bookmarkEnd w:id="20"/>
    </w:p>
    <w:p>
      <w:pPr>
        <w:widowControl/>
        <w:spacing w:line="560" w:lineRule="exact"/>
        <w:ind w:firstLine="640" w:firstLineChars="200"/>
        <w:outlineLvl w:val="1"/>
        <w:rPr>
          <w:rFonts w:hint="eastAsia" w:ascii="楷体_GB2312" w:hAnsi="黑体" w:eastAsia="楷体_GB2312" w:cs="黑体"/>
          <w:sz w:val="32"/>
          <w:szCs w:val="32"/>
        </w:rPr>
      </w:pPr>
      <w:bookmarkStart w:id="22" w:name="_Toc1624397818"/>
      <w:bookmarkStart w:id="23" w:name="_Toc715245398"/>
      <w:bookmarkStart w:id="24" w:name="_Toc8642"/>
      <w:r>
        <w:rPr>
          <w:rFonts w:hint="eastAsia" w:ascii="楷体_GB2312" w:hAnsi="黑体" w:eastAsia="楷体_GB2312" w:cs="黑体"/>
          <w:sz w:val="32"/>
          <w:szCs w:val="32"/>
        </w:rPr>
        <w:t>（一）完善安全责任体系，提升协同治理能力</w:t>
      </w:r>
      <w:bookmarkEnd w:id="22"/>
      <w:bookmarkEnd w:id="23"/>
      <w:bookmarkEnd w:id="24"/>
    </w:p>
    <w:p>
      <w:pPr>
        <w:pStyle w:val="23"/>
        <w:widowControl/>
        <w:spacing w:line="560" w:lineRule="exact"/>
        <w:ind w:firstLine="642" w:firstLineChars="200"/>
        <w:outlineLvl w:val="2"/>
        <w:rPr>
          <w:rFonts w:hint="eastAsia" w:ascii="仿宋_GB2312" w:hAnsi="楷体_GB2312" w:eastAsia="仿宋_GB2312" w:cs="楷体_GB2312"/>
          <w:b w:val="0"/>
          <w:bCs w:val="0"/>
          <w:sz w:val="32"/>
          <w:szCs w:val="32"/>
        </w:rPr>
      </w:pPr>
      <w:r>
        <w:rPr>
          <w:rFonts w:hint="eastAsia" w:ascii="仿宋_GB2312" w:hAnsi="黑体" w:eastAsia="仿宋_GB2312" w:cs="黑体"/>
          <w:b/>
          <w:sz w:val="32"/>
          <w:szCs w:val="32"/>
        </w:rPr>
        <w:t>1.提升</w:t>
      </w:r>
      <w:r>
        <w:rPr>
          <w:rFonts w:hint="eastAsia" w:ascii="仿宋_GB2312" w:hAnsi="楷体_GB2312" w:eastAsia="仿宋_GB2312" w:cs="楷体_GB2312"/>
          <w:b/>
          <w:sz w:val="32"/>
          <w:szCs w:val="32"/>
        </w:rPr>
        <w:t>全链条统筹协调能力</w:t>
      </w:r>
      <w:r>
        <w:rPr>
          <w:rFonts w:hint="eastAsia" w:ascii="仿宋_GB2312" w:hAnsi="楷体_GB2312" w:eastAsia="仿宋_GB2312" w:cs="楷体_GB2312"/>
          <w:sz w:val="32"/>
          <w:szCs w:val="32"/>
        </w:rPr>
        <w:t>。</w:t>
      </w:r>
      <w:r>
        <w:rPr>
          <w:rFonts w:hint="eastAsia" w:ascii="仿宋_GB2312" w:hAnsi="楷体_GB2312" w:eastAsia="仿宋_GB2312" w:cs="楷体_GB2312"/>
          <w:b w:val="0"/>
          <w:bCs w:val="0"/>
          <w:sz w:val="32"/>
          <w:szCs w:val="32"/>
        </w:rPr>
        <w:t>完善市应急管理委员会框架下的三级议事协调指挥架构及配套机制，</w:t>
      </w:r>
      <w:r>
        <w:rPr>
          <w:rFonts w:hint="eastAsia" w:ascii="仿宋_GB2312" w:hAnsi="Calibri" w:eastAsia="仿宋_GB2312"/>
          <w:b w:val="0"/>
          <w:bCs w:val="0"/>
          <w:sz w:val="32"/>
          <w:szCs w:val="32"/>
        </w:rPr>
        <w:t>健全各重点行业领域灾害事故防治专项协调机制。</w:t>
      </w:r>
      <w:r>
        <w:rPr>
          <w:rFonts w:hint="eastAsia" w:ascii="仿宋_GB2312" w:hAnsi="Calibri" w:eastAsia="仿宋_GB2312"/>
          <w:color w:val="000000" w:themeColor="text1"/>
          <w:sz w:val="32"/>
          <w:szCs w:val="32"/>
          <w14:textFill>
            <w14:solidFill>
              <w14:schemeClr w14:val="tx1"/>
            </w14:solidFill>
          </w14:textFill>
        </w:rPr>
        <w:t>探索构建面向新行业、新业态、新领域的新兴风险</w:t>
      </w:r>
      <w:bookmarkStart w:id="25" w:name="OLE_LINK1"/>
      <w:r>
        <w:rPr>
          <w:rFonts w:ascii="仿宋_GB2312" w:hAnsi="Calibri" w:eastAsia="仿宋_GB2312"/>
          <w:color w:val="000000" w:themeColor="text1"/>
          <w:sz w:val="32"/>
          <w:szCs w:val="32"/>
          <w14:textFill>
            <w14:solidFill>
              <w14:schemeClr w14:val="tx1"/>
            </w14:solidFill>
          </w14:textFill>
        </w:rPr>
        <w:t>敏捷治理</w:t>
      </w:r>
      <w:r>
        <w:rPr>
          <w:rFonts w:hint="eastAsia" w:ascii="仿宋_GB2312" w:hAnsi="Calibri" w:eastAsia="仿宋_GB2312"/>
          <w:color w:val="000000" w:themeColor="text1"/>
          <w:sz w:val="32"/>
          <w:szCs w:val="32"/>
          <w14:textFill>
            <w14:solidFill>
              <w14:schemeClr w14:val="tx1"/>
            </w14:solidFill>
          </w14:textFill>
        </w:rPr>
        <w:t>模式</w:t>
      </w:r>
      <w:bookmarkEnd w:id="25"/>
      <w:r>
        <w:rPr>
          <w:rFonts w:ascii="仿宋_GB2312" w:hAnsi="Calibri" w:eastAsia="仿宋_GB2312"/>
          <w:color w:val="000000" w:themeColor="text1"/>
          <w:sz w:val="32"/>
          <w:szCs w:val="32"/>
          <w14:textFill>
            <w14:solidFill>
              <w14:schemeClr w14:val="tx1"/>
            </w14:solidFill>
          </w14:textFill>
        </w:rPr>
        <w:t>。</w:t>
      </w:r>
      <w:r>
        <w:rPr>
          <w:rFonts w:hint="eastAsia" w:ascii="仿宋_GB2312" w:hAnsi="Calibri" w:eastAsia="仿宋_GB2312"/>
          <w:sz w:val="32"/>
          <w:szCs w:val="32"/>
        </w:rPr>
        <w:t>健全部门、区域、军地、条块之间协同机制，强化事前“大安全”联防联控、事中“大应急”联动处置、事后“多部门”联合复盘。完善应急管理系统干部双重管理体制</w:t>
      </w:r>
      <w:r>
        <w:rPr>
          <w:rStyle w:val="33"/>
          <w:rFonts w:hint="eastAsia" w:ascii="仿宋_GB2312" w:hAnsi="Calibri" w:eastAsia="仿宋_GB2312"/>
          <w:sz w:val="32"/>
          <w:szCs w:val="32"/>
        </w:rPr>
        <w:footnoteReference w:id="0"/>
      </w:r>
      <w:r>
        <w:rPr>
          <w:rFonts w:hint="eastAsia" w:ascii="仿宋_GB2312" w:hAnsi="Calibri" w:eastAsia="仿宋_GB2312"/>
          <w:sz w:val="32"/>
          <w:szCs w:val="32"/>
        </w:rPr>
        <w:t>，落实应急管理与消防救援部门主要负责同志交叉任职。</w:t>
      </w:r>
      <w:r>
        <w:rPr>
          <w:rFonts w:hint="eastAsia" w:ascii="仿宋_GB2312" w:hAnsi="Calibri" w:eastAsia="仿宋_GB2312"/>
          <w:b w:val="0"/>
          <w:bCs w:val="0"/>
          <w:sz w:val="32"/>
          <w:szCs w:val="32"/>
        </w:rPr>
        <w:t>健全</w:t>
      </w:r>
      <w:r>
        <w:rPr>
          <w:rFonts w:ascii="仿宋_GB2312" w:hAnsi="Calibri" w:eastAsia="仿宋_GB2312"/>
          <w:b w:val="0"/>
          <w:bCs w:val="0"/>
          <w:sz w:val="32"/>
          <w:szCs w:val="32"/>
        </w:rPr>
        <w:t>考核评价</w:t>
      </w:r>
      <w:r>
        <w:rPr>
          <w:rFonts w:hint="eastAsia" w:ascii="仿宋_GB2312" w:hAnsi="Calibri" w:eastAsia="仿宋_GB2312"/>
          <w:b w:val="0"/>
          <w:bCs w:val="0"/>
          <w:sz w:val="32"/>
          <w:szCs w:val="32"/>
        </w:rPr>
        <w:t>体系</w:t>
      </w:r>
      <w:r>
        <w:rPr>
          <w:rFonts w:ascii="仿宋_GB2312" w:hAnsi="Calibri" w:eastAsia="仿宋_GB2312"/>
          <w:b w:val="0"/>
          <w:bCs w:val="0"/>
          <w:sz w:val="32"/>
          <w:szCs w:val="32"/>
        </w:rPr>
        <w:t>，将部门</w:t>
      </w:r>
      <w:r>
        <w:rPr>
          <w:rFonts w:hint="eastAsia" w:ascii="仿宋_GB2312" w:hAnsi="Calibri" w:eastAsia="仿宋_GB2312"/>
          <w:b w:val="0"/>
          <w:bCs w:val="0"/>
          <w:sz w:val="32"/>
          <w:szCs w:val="32"/>
        </w:rPr>
        <w:t>履职</w:t>
      </w:r>
      <w:r>
        <w:rPr>
          <w:rFonts w:ascii="仿宋_GB2312" w:hAnsi="Calibri" w:eastAsia="仿宋_GB2312"/>
          <w:b w:val="0"/>
          <w:bCs w:val="0"/>
          <w:sz w:val="32"/>
          <w:szCs w:val="32"/>
        </w:rPr>
        <w:t>、</w:t>
      </w:r>
      <w:r>
        <w:rPr>
          <w:rFonts w:hint="eastAsia" w:ascii="仿宋_GB2312" w:hAnsi="Calibri" w:eastAsia="仿宋_GB2312"/>
          <w:b w:val="0"/>
          <w:bCs w:val="0"/>
          <w:sz w:val="32"/>
          <w:szCs w:val="32"/>
        </w:rPr>
        <w:t>条块协同</w:t>
      </w:r>
      <w:r>
        <w:rPr>
          <w:rFonts w:ascii="仿宋_GB2312" w:hAnsi="Calibri" w:eastAsia="仿宋_GB2312"/>
          <w:b w:val="0"/>
          <w:bCs w:val="0"/>
          <w:sz w:val="32"/>
          <w:szCs w:val="32"/>
        </w:rPr>
        <w:t>、军地</w:t>
      </w:r>
      <w:r>
        <w:rPr>
          <w:rFonts w:hint="eastAsia" w:ascii="仿宋_GB2312" w:hAnsi="Calibri" w:eastAsia="仿宋_GB2312"/>
          <w:b w:val="0"/>
          <w:bCs w:val="0"/>
          <w:sz w:val="32"/>
          <w:szCs w:val="32"/>
        </w:rPr>
        <w:t>协作等成效</w:t>
      </w:r>
      <w:r>
        <w:rPr>
          <w:rFonts w:ascii="仿宋_GB2312" w:hAnsi="Calibri" w:eastAsia="仿宋_GB2312"/>
          <w:b w:val="0"/>
          <w:bCs w:val="0"/>
          <w:sz w:val="32"/>
          <w:szCs w:val="32"/>
        </w:rPr>
        <w:t>纳入</w:t>
      </w:r>
      <w:r>
        <w:rPr>
          <w:rFonts w:hint="eastAsia" w:ascii="仿宋_GB2312" w:hAnsi="Calibri" w:eastAsia="仿宋_GB2312"/>
          <w:b w:val="0"/>
          <w:bCs w:val="0"/>
          <w:sz w:val="32"/>
          <w:szCs w:val="32"/>
        </w:rPr>
        <w:t>高质量发展考核</w:t>
      </w:r>
      <w:r>
        <w:rPr>
          <w:rFonts w:ascii="仿宋_GB2312" w:hAnsi="Calibri" w:eastAsia="仿宋_GB2312"/>
          <w:b w:val="0"/>
          <w:bCs w:val="0"/>
          <w:sz w:val="32"/>
          <w:szCs w:val="32"/>
        </w:rPr>
        <w:t>。</w:t>
      </w:r>
    </w:p>
    <w:p>
      <w:pPr>
        <w:widowControl/>
        <w:spacing w:line="560" w:lineRule="exact"/>
        <w:ind w:firstLine="642" w:firstLineChars="200"/>
        <w:outlineLvl w:val="2"/>
        <w:rPr>
          <w:rFonts w:ascii="仿宋_GB2312" w:hAnsi="Calibri" w:eastAsia="仿宋_GB2312"/>
          <w:b/>
          <w:bCs/>
          <w:sz w:val="32"/>
          <w:szCs w:val="32"/>
        </w:rPr>
      </w:pPr>
      <w:bookmarkStart w:id="26" w:name="OLE_LINK3"/>
      <w:r>
        <w:rPr>
          <w:rFonts w:hint="eastAsia" w:ascii="仿宋_GB2312" w:hAnsi="黑体" w:eastAsia="仿宋_GB2312" w:cs="黑体"/>
          <w:b/>
          <w:sz w:val="32"/>
          <w:szCs w:val="32"/>
        </w:rPr>
        <w:t>2.完善事中统一指挥体制</w:t>
      </w:r>
      <w:r>
        <w:rPr>
          <w:rFonts w:hint="eastAsia" w:ascii="仿宋_GB2312" w:hAnsi="楷体_GB2312" w:eastAsia="仿宋_GB2312" w:cs="楷体_GB2312"/>
          <w:sz w:val="32"/>
          <w:szCs w:val="32"/>
        </w:rPr>
        <w:t>。</w:t>
      </w:r>
      <w:bookmarkEnd w:id="26"/>
      <w:r>
        <w:rPr>
          <w:rFonts w:hint="eastAsia" w:ascii="仿宋_GB2312" w:hAnsi="Calibri" w:eastAsia="仿宋_GB2312"/>
          <w:sz w:val="32"/>
          <w:szCs w:val="32"/>
        </w:rPr>
        <w:t>坚持平战结合，健全“一网统管、层级联动”</w:t>
      </w:r>
      <w:r>
        <w:rPr>
          <w:rFonts w:ascii="仿宋_GB2312" w:hAnsi="Calibri" w:eastAsia="仿宋_GB2312"/>
          <w:sz w:val="32"/>
          <w:szCs w:val="32"/>
        </w:rPr>
        <w:t>应急指挥体系，</w:t>
      </w:r>
      <w:r>
        <w:rPr>
          <w:rFonts w:hint="eastAsia" w:ascii="仿宋_GB2312" w:hAnsi="Calibri" w:eastAsia="仿宋_GB2312"/>
          <w:sz w:val="32"/>
          <w:szCs w:val="32"/>
        </w:rPr>
        <w:t>推动</w:t>
      </w:r>
      <w:r>
        <w:rPr>
          <w:rFonts w:ascii="仿宋_GB2312" w:hAnsi="Calibri" w:eastAsia="仿宋_GB2312"/>
          <w:sz w:val="32"/>
          <w:szCs w:val="32"/>
        </w:rPr>
        <w:t>常态应急准备、监测预警与</w:t>
      </w:r>
      <w:r>
        <w:rPr>
          <w:rFonts w:hint="eastAsia" w:ascii="仿宋_GB2312" w:hAnsi="Calibri" w:eastAsia="仿宋_GB2312"/>
          <w:sz w:val="32"/>
          <w:szCs w:val="32"/>
        </w:rPr>
        <w:t>非常态</w:t>
      </w:r>
      <w:r>
        <w:rPr>
          <w:rFonts w:ascii="仿宋_GB2312" w:hAnsi="Calibri" w:eastAsia="仿宋_GB2312"/>
          <w:sz w:val="32"/>
          <w:szCs w:val="32"/>
        </w:rPr>
        <w:t>应急指挥深度融合</w:t>
      </w:r>
      <w:r>
        <w:rPr>
          <w:rFonts w:hint="eastAsia" w:ascii="仿宋_GB2312" w:hAnsi="Calibri" w:eastAsia="仿宋_GB2312"/>
          <w:sz w:val="32"/>
          <w:szCs w:val="32"/>
        </w:rPr>
        <w:t>。优化</w:t>
      </w:r>
      <w:r>
        <w:rPr>
          <w:rFonts w:ascii="仿宋_GB2312" w:hAnsi="Calibri" w:eastAsia="仿宋_GB2312"/>
          <w:sz w:val="32"/>
          <w:szCs w:val="32"/>
        </w:rPr>
        <w:t>联合会商、</w:t>
      </w:r>
      <w:r>
        <w:rPr>
          <w:rFonts w:hint="eastAsia" w:ascii="仿宋_GB2312" w:hAnsi="Calibri" w:eastAsia="仿宋_GB2312"/>
          <w:sz w:val="32"/>
          <w:szCs w:val="32"/>
        </w:rPr>
        <w:t>综合</w:t>
      </w:r>
      <w:r>
        <w:rPr>
          <w:rFonts w:ascii="仿宋_GB2312" w:hAnsi="Calibri" w:eastAsia="仿宋_GB2312"/>
          <w:sz w:val="32"/>
          <w:szCs w:val="32"/>
        </w:rPr>
        <w:t>研判、</w:t>
      </w:r>
      <w:r>
        <w:rPr>
          <w:rFonts w:hint="eastAsia" w:ascii="仿宋_GB2312" w:hAnsi="Calibri" w:eastAsia="仿宋_GB2312"/>
          <w:sz w:val="32"/>
          <w:szCs w:val="32"/>
        </w:rPr>
        <w:t>协同</w:t>
      </w:r>
      <w:r>
        <w:rPr>
          <w:rFonts w:ascii="仿宋_GB2312" w:hAnsi="Calibri" w:eastAsia="仿宋_GB2312"/>
          <w:sz w:val="32"/>
          <w:szCs w:val="32"/>
        </w:rPr>
        <w:t>处置闭环</w:t>
      </w:r>
      <w:r>
        <w:rPr>
          <w:rFonts w:hint="eastAsia" w:ascii="仿宋_GB2312" w:hAnsi="Calibri" w:eastAsia="仿宋_GB2312"/>
          <w:sz w:val="32"/>
          <w:szCs w:val="32"/>
        </w:rPr>
        <w:t>工作</w:t>
      </w:r>
      <w:r>
        <w:rPr>
          <w:rFonts w:ascii="仿宋_GB2312" w:hAnsi="Calibri" w:eastAsia="仿宋_GB2312"/>
          <w:sz w:val="32"/>
          <w:szCs w:val="32"/>
        </w:rPr>
        <w:t>流程，</w:t>
      </w:r>
      <w:r>
        <w:rPr>
          <w:rFonts w:hint="eastAsia" w:ascii="仿宋_GB2312" w:hAnsi="Calibri" w:eastAsia="仿宋_GB2312"/>
          <w:sz w:val="32"/>
          <w:szCs w:val="32"/>
        </w:rPr>
        <w:t>提升</w:t>
      </w:r>
      <w:r>
        <w:rPr>
          <w:rFonts w:ascii="仿宋_GB2312" w:hAnsi="Calibri" w:eastAsia="仿宋_GB2312"/>
          <w:sz w:val="32"/>
          <w:szCs w:val="32"/>
        </w:rPr>
        <w:t>突发事件快速响应、一体调度、协同作战</w:t>
      </w:r>
      <w:r>
        <w:rPr>
          <w:rFonts w:hint="eastAsia" w:ascii="仿宋_GB2312" w:hAnsi="Calibri" w:eastAsia="仿宋_GB2312"/>
          <w:sz w:val="32"/>
          <w:szCs w:val="32"/>
        </w:rPr>
        <w:t>能力</w:t>
      </w:r>
      <w:r>
        <w:rPr>
          <w:rFonts w:ascii="仿宋_GB2312" w:hAnsi="Calibri" w:eastAsia="仿宋_GB2312"/>
          <w:sz w:val="32"/>
          <w:szCs w:val="32"/>
        </w:rPr>
        <w:t>。</w:t>
      </w:r>
      <w:r>
        <w:rPr>
          <w:rFonts w:hint="eastAsia" w:ascii="仿宋_GB2312" w:hAnsi="Calibri" w:eastAsia="仿宋_GB2312"/>
          <w:b w:val="0"/>
          <w:bCs w:val="0"/>
          <w:sz w:val="32"/>
          <w:szCs w:val="32"/>
        </w:rPr>
        <w:t>系统复盘典型</w:t>
      </w:r>
      <w:r>
        <w:rPr>
          <w:rFonts w:ascii="仿宋_GB2312" w:hAnsi="Calibri" w:eastAsia="仿宋_GB2312"/>
          <w:b w:val="0"/>
          <w:bCs w:val="0"/>
          <w:sz w:val="32"/>
          <w:szCs w:val="32"/>
        </w:rPr>
        <w:t>突发事件处置</w:t>
      </w:r>
      <w:r>
        <w:rPr>
          <w:rFonts w:hint="eastAsia" w:ascii="仿宋_GB2312" w:hAnsi="Calibri" w:eastAsia="仿宋_GB2312"/>
          <w:b w:val="0"/>
          <w:bCs w:val="0"/>
          <w:sz w:val="32"/>
          <w:szCs w:val="32"/>
        </w:rPr>
        <w:t>经验与短板</w:t>
      </w:r>
      <w:r>
        <w:rPr>
          <w:rFonts w:ascii="仿宋_GB2312" w:hAnsi="Calibri" w:eastAsia="仿宋_GB2312"/>
          <w:b w:val="0"/>
          <w:bCs w:val="0"/>
          <w:sz w:val="32"/>
          <w:szCs w:val="32"/>
        </w:rPr>
        <w:t>，</w:t>
      </w:r>
      <w:r>
        <w:rPr>
          <w:rFonts w:hint="eastAsia" w:ascii="仿宋_GB2312" w:hAnsi="Calibri" w:eastAsia="仿宋_GB2312"/>
          <w:b w:val="0"/>
          <w:bCs w:val="0"/>
          <w:sz w:val="32"/>
          <w:szCs w:val="32"/>
        </w:rPr>
        <w:t>立足实战需求，</w:t>
      </w:r>
      <w:r>
        <w:rPr>
          <w:rFonts w:ascii="仿宋_GB2312" w:hAnsi="Calibri" w:eastAsia="仿宋_GB2312"/>
          <w:b w:val="0"/>
          <w:bCs w:val="0"/>
          <w:sz w:val="32"/>
          <w:szCs w:val="32"/>
        </w:rPr>
        <w:t>以</w:t>
      </w:r>
      <w:r>
        <w:rPr>
          <w:rFonts w:hint="eastAsia" w:ascii="仿宋_GB2312" w:hAnsi="Calibri" w:eastAsia="仿宋_GB2312"/>
          <w:b w:val="0"/>
          <w:bCs w:val="0"/>
          <w:sz w:val="32"/>
          <w:szCs w:val="32"/>
        </w:rPr>
        <w:t>各类</w:t>
      </w:r>
      <w:r>
        <w:rPr>
          <w:rFonts w:ascii="仿宋_GB2312" w:hAnsi="Calibri" w:eastAsia="仿宋_GB2312"/>
          <w:b w:val="0"/>
          <w:bCs w:val="0"/>
          <w:sz w:val="32"/>
          <w:szCs w:val="32"/>
        </w:rPr>
        <w:t>应急预案为</w:t>
      </w:r>
      <w:r>
        <w:rPr>
          <w:rFonts w:hint="eastAsia" w:ascii="仿宋_GB2312" w:hAnsi="Calibri" w:eastAsia="仿宋_GB2312"/>
          <w:b w:val="0"/>
          <w:bCs w:val="0"/>
          <w:sz w:val="32"/>
          <w:szCs w:val="32"/>
        </w:rPr>
        <w:t>依托</w:t>
      </w:r>
      <w:r>
        <w:rPr>
          <w:rFonts w:ascii="仿宋_GB2312" w:hAnsi="Calibri" w:eastAsia="仿宋_GB2312"/>
          <w:b w:val="0"/>
          <w:bCs w:val="0"/>
          <w:sz w:val="32"/>
          <w:szCs w:val="32"/>
        </w:rPr>
        <w:t>，</w:t>
      </w:r>
      <w:r>
        <w:rPr>
          <w:rFonts w:hint="eastAsia" w:ascii="仿宋_GB2312" w:hAnsi="Calibri" w:eastAsia="仿宋_GB2312"/>
          <w:b w:val="0"/>
          <w:bCs w:val="0"/>
          <w:sz w:val="32"/>
          <w:szCs w:val="32"/>
        </w:rPr>
        <w:t>细化现场</w:t>
      </w:r>
      <w:r>
        <w:rPr>
          <w:rFonts w:ascii="仿宋_GB2312" w:hAnsi="Calibri" w:eastAsia="仿宋_GB2312"/>
          <w:b w:val="0"/>
          <w:bCs w:val="0"/>
          <w:sz w:val="32"/>
          <w:szCs w:val="32"/>
        </w:rPr>
        <w:t>处置</w:t>
      </w:r>
      <w:r>
        <w:rPr>
          <w:rFonts w:hint="eastAsia" w:ascii="仿宋_GB2312" w:hAnsi="Calibri" w:eastAsia="仿宋_GB2312"/>
          <w:b w:val="0"/>
          <w:bCs w:val="0"/>
          <w:sz w:val="32"/>
          <w:szCs w:val="32"/>
        </w:rPr>
        <w:t>各项机制与流程</w:t>
      </w:r>
      <w:r>
        <w:rPr>
          <w:rFonts w:ascii="仿宋_GB2312" w:hAnsi="Calibri" w:eastAsia="仿宋_GB2312"/>
          <w:b w:val="0"/>
          <w:bCs w:val="0"/>
          <w:sz w:val="32"/>
          <w:szCs w:val="32"/>
        </w:rPr>
        <w:t>。</w:t>
      </w:r>
      <w:r>
        <w:rPr>
          <w:rFonts w:hint="eastAsia" w:ascii="仿宋_GB2312" w:hAnsi="Calibri" w:eastAsia="仿宋_GB2312"/>
          <w:b w:val="0"/>
          <w:bCs w:val="0"/>
          <w:sz w:val="32"/>
          <w:szCs w:val="32"/>
        </w:rPr>
        <w:t>统筹推进“平急两用”基础设施规划建设，建立健全公共设施平时服务、急时应急的快速转换机制。</w:t>
      </w:r>
    </w:p>
    <w:p>
      <w:pPr>
        <w:widowControl/>
        <w:spacing w:line="560" w:lineRule="exact"/>
        <w:ind w:firstLine="642" w:firstLineChars="200"/>
        <w:outlineLvl w:val="2"/>
        <w:rPr>
          <w:rFonts w:ascii="仿宋_GB2312" w:hAnsi="Calibri" w:eastAsia="仿宋_GB2312"/>
          <w:b w:val="0"/>
          <w:bCs w:val="0"/>
          <w:sz w:val="32"/>
          <w:szCs w:val="32"/>
        </w:rPr>
      </w:pPr>
      <w:bookmarkStart w:id="27" w:name="OLE_LINK8"/>
      <w:r>
        <w:rPr>
          <w:rFonts w:hint="eastAsia" w:ascii="仿宋_GB2312" w:hAnsi="黑体" w:eastAsia="仿宋_GB2312" w:cs="黑体"/>
          <w:b/>
          <w:sz w:val="32"/>
          <w:szCs w:val="32"/>
        </w:rPr>
        <w:t>3.健全事故调查“两个闭环”机制</w:t>
      </w:r>
      <w:r>
        <w:rPr>
          <w:rFonts w:hint="eastAsia" w:ascii="仿宋_GB2312" w:hAnsi="Calibri" w:eastAsia="仿宋_GB2312"/>
          <w:sz w:val="32"/>
          <w:szCs w:val="32"/>
        </w:rPr>
        <w:t>。</w:t>
      </w:r>
      <w:bookmarkEnd w:id="27"/>
      <w:r>
        <w:rPr>
          <w:rFonts w:hint="eastAsia" w:ascii="仿宋_GB2312" w:hAnsi="Calibri" w:eastAsia="仿宋_GB2312"/>
          <w:sz w:val="32"/>
          <w:szCs w:val="32"/>
        </w:rPr>
        <w:t>规范事故全链条调查处置流程，通过事故调查、问题整改、验收销号形成追责问责闭环；注重发现质量和标准缺失问题，通过标准评估、查漏补缺和提质升级形成系统治理闭环，带动提升本质安全水平。</w:t>
      </w:r>
      <w:r>
        <w:rPr>
          <w:rFonts w:hint="eastAsia" w:ascii="仿宋_GB2312" w:hAnsi="Calibri" w:eastAsia="仿宋_GB2312"/>
          <w:b w:val="0"/>
          <w:bCs w:val="0"/>
          <w:sz w:val="32"/>
          <w:szCs w:val="32"/>
        </w:rPr>
        <w:t>建立健全</w:t>
      </w:r>
      <w:r>
        <w:rPr>
          <w:rFonts w:ascii="仿宋_GB2312" w:hAnsi="Calibri" w:eastAsia="仿宋_GB2312"/>
          <w:b w:val="0"/>
          <w:bCs w:val="0"/>
          <w:sz w:val="32"/>
          <w:szCs w:val="32"/>
        </w:rPr>
        <w:t>重大风险动态管控、重大</w:t>
      </w:r>
      <w:r>
        <w:rPr>
          <w:rFonts w:hint="eastAsia" w:ascii="仿宋_GB2312" w:hAnsi="Calibri" w:eastAsia="仿宋_GB2312"/>
          <w:b w:val="0"/>
          <w:bCs w:val="0"/>
          <w:sz w:val="32"/>
          <w:szCs w:val="32"/>
        </w:rPr>
        <w:t>事故</w:t>
      </w:r>
      <w:r>
        <w:rPr>
          <w:rFonts w:ascii="仿宋_GB2312" w:hAnsi="Calibri" w:eastAsia="仿宋_GB2312"/>
          <w:b w:val="0"/>
          <w:bCs w:val="0"/>
          <w:sz w:val="32"/>
          <w:szCs w:val="32"/>
        </w:rPr>
        <w:t>隐患排查整治、事故责任倒</w:t>
      </w:r>
      <w:r>
        <w:rPr>
          <w:rFonts w:hint="eastAsia" w:ascii="仿宋_GB2312" w:hAnsi="Calibri" w:eastAsia="仿宋_GB2312"/>
          <w:b w:val="0"/>
          <w:bCs w:val="0"/>
          <w:sz w:val="32"/>
          <w:szCs w:val="32"/>
        </w:rPr>
        <w:t>查“三位一体”工作体系。</w:t>
      </w:r>
    </w:p>
    <w:p>
      <w:pPr>
        <w:widowControl/>
        <w:spacing w:line="560" w:lineRule="exact"/>
        <w:ind w:firstLine="642" w:firstLineChars="200"/>
        <w:outlineLvl w:val="2"/>
        <w:rPr>
          <w:rFonts w:hint="eastAsia" w:ascii="仿宋_GB2312" w:eastAsia="仿宋_GB2312"/>
          <w:b/>
          <w:bCs/>
          <w:sz w:val="32"/>
          <w:szCs w:val="32"/>
        </w:rPr>
      </w:pPr>
      <w:bookmarkStart w:id="28" w:name="OLE_LINK9"/>
      <w:r>
        <w:rPr>
          <w:rFonts w:hint="eastAsia" w:ascii="仿宋_GB2312" w:eastAsia="仿宋_GB2312"/>
          <w:b/>
          <w:bCs/>
          <w:sz w:val="32"/>
          <w:szCs w:val="32"/>
        </w:rPr>
        <w:t>4.持续开展精细化立法。</w:t>
      </w:r>
      <w:r>
        <w:rPr>
          <w:rFonts w:hint="eastAsia" w:ascii="仿宋_GB2312" w:eastAsia="仿宋_GB2312"/>
          <w:b w:val="0"/>
          <w:bCs w:val="0"/>
          <w:sz w:val="32"/>
          <w:szCs w:val="32"/>
        </w:rPr>
        <w:t>用好</w:t>
      </w:r>
      <w:r>
        <w:rPr>
          <w:rFonts w:ascii="仿宋_GB2312" w:eastAsia="仿宋_GB2312"/>
          <w:b w:val="0"/>
          <w:bCs w:val="0"/>
          <w:sz w:val="32"/>
          <w:szCs w:val="32"/>
        </w:rPr>
        <w:t>经济特区立法</w:t>
      </w:r>
      <w:r>
        <w:rPr>
          <w:rFonts w:hint="eastAsia" w:ascii="仿宋_GB2312" w:eastAsia="仿宋_GB2312"/>
          <w:b w:val="0"/>
          <w:bCs w:val="0"/>
          <w:sz w:val="32"/>
          <w:szCs w:val="32"/>
        </w:rPr>
        <w:t>优势，坚持</w:t>
      </w:r>
      <w:r>
        <w:rPr>
          <w:rFonts w:ascii="仿宋_GB2312" w:eastAsia="仿宋_GB2312"/>
          <w:b w:val="0"/>
          <w:bCs w:val="0"/>
          <w:sz w:val="32"/>
          <w:szCs w:val="32"/>
        </w:rPr>
        <w:t>创新变通</w:t>
      </w:r>
      <w:r>
        <w:rPr>
          <w:rFonts w:hint="eastAsia" w:ascii="仿宋_GB2312" w:eastAsia="仿宋_GB2312"/>
          <w:b w:val="0"/>
          <w:bCs w:val="0"/>
          <w:sz w:val="32"/>
          <w:szCs w:val="32"/>
        </w:rPr>
        <w:t>、务实管用</w:t>
      </w:r>
      <w:r>
        <w:rPr>
          <w:rFonts w:ascii="仿宋_GB2312" w:eastAsia="仿宋_GB2312"/>
          <w:b w:val="0"/>
          <w:bCs w:val="0"/>
          <w:sz w:val="32"/>
          <w:szCs w:val="32"/>
        </w:rPr>
        <w:t>，</w:t>
      </w:r>
      <w:r>
        <w:rPr>
          <w:rFonts w:hint="eastAsia" w:ascii="仿宋_GB2312" w:eastAsia="仿宋_GB2312"/>
          <w:b w:val="0"/>
          <w:bCs w:val="0"/>
          <w:sz w:val="32"/>
          <w:szCs w:val="32"/>
        </w:rPr>
        <w:t>聚焦高层建筑、电动自行车等重点领域，智能网联汽车、水上休闲娱乐、“工业上楼”等新兴领域，开展小切口、精准化安全立法。</w:t>
      </w:r>
      <w:r>
        <w:rPr>
          <w:rFonts w:hint="eastAsia" w:ascii="仿宋_GB2312" w:eastAsia="仿宋_GB2312"/>
          <w:sz w:val="32"/>
          <w:szCs w:val="32"/>
        </w:rPr>
        <w:t>加快制修订超高层建筑消防设计审查验收、地下管网运维管理、地下隧道施工等地方标准，</w:t>
      </w:r>
      <w:r>
        <w:rPr>
          <w:rFonts w:hint="eastAsia" w:ascii="仿宋_GB2312" w:eastAsia="仿宋_GB2312"/>
          <w:b w:val="0"/>
          <w:bCs w:val="0"/>
          <w:sz w:val="32"/>
          <w:szCs w:val="32"/>
        </w:rPr>
        <w:t>探索通过国家授权等方式制定并实施应急管理强制性地方标准。</w:t>
      </w:r>
    </w:p>
    <w:bookmarkEnd w:id="28"/>
    <w:p>
      <w:pPr>
        <w:widowControl/>
        <w:spacing w:line="560" w:lineRule="exact"/>
        <w:ind w:firstLine="642" w:firstLineChars="200"/>
        <w:outlineLvl w:val="2"/>
        <w:rPr>
          <w:rFonts w:hint="eastAsia" w:ascii="仿宋_GB2312" w:eastAsia="仿宋_GB2312"/>
          <w:b/>
          <w:bCs/>
          <w:sz w:val="32"/>
          <w:szCs w:val="32"/>
        </w:rPr>
      </w:pPr>
      <w:r>
        <w:rPr>
          <w:rFonts w:ascii="仿宋_GB2312" w:eastAsia="仿宋_GB2312"/>
          <w:b/>
          <w:bCs/>
          <w:sz w:val="32"/>
          <w:szCs w:val="32"/>
        </w:rPr>
        <w:t>5.</w:t>
      </w:r>
      <w:r>
        <w:rPr>
          <w:rFonts w:hint="eastAsia" w:ascii="仿宋_GB2312" w:eastAsia="仿宋_GB2312"/>
          <w:b/>
          <w:bCs/>
          <w:sz w:val="32"/>
          <w:szCs w:val="32"/>
        </w:rPr>
        <w:t>深入</w:t>
      </w:r>
      <w:r>
        <w:rPr>
          <w:rFonts w:ascii="仿宋_GB2312" w:eastAsia="仿宋_GB2312"/>
          <w:b/>
          <w:bCs/>
          <w:sz w:val="32"/>
          <w:szCs w:val="32"/>
        </w:rPr>
        <w:t>推进规范化执法。</w:t>
      </w:r>
      <w:r>
        <w:rPr>
          <w:rFonts w:hint="eastAsia" w:ascii="仿宋_GB2312" w:eastAsia="仿宋_GB2312"/>
          <w:sz w:val="32"/>
          <w:szCs w:val="32"/>
        </w:rPr>
        <w:t>深化应急管理综合行政执法改革，健全分类分级监管执法机制，完善执法全过程监督体系，加强基层行政执法能力建设，强化行政执法保障，持续提升执法规范化水平。加大重点行业领域安全生产执法力度，聚焦执法检查重点事项，依法采取“一案双罚”、联合惩戒、行刑衔接等措施，严查严处突出违法行为和重大事故隐患。健全完善信用管理制度体系，深化信用信息结果运用。推动安全监管执法服务平台建设应用，全面落实“互联网+执法”，以数字赋能纵深推动监管执法体系、基层履职能力向数智化转型。</w:t>
      </w:r>
    </w:p>
    <w:p>
      <w:pPr>
        <w:widowControl/>
        <w:spacing w:line="560" w:lineRule="exact"/>
        <w:ind w:firstLine="642" w:firstLineChars="200"/>
        <w:outlineLvl w:val="2"/>
        <w:rPr>
          <w:rFonts w:hint="eastAsia" w:ascii="仿宋_GB2312" w:eastAsia="仿宋_GB2312"/>
          <w:b w:val="0"/>
          <w:bCs w:val="0"/>
          <w:sz w:val="32"/>
          <w:szCs w:val="32"/>
        </w:rPr>
      </w:pPr>
      <w:r>
        <w:rPr>
          <w:rFonts w:hint="eastAsia" w:ascii="仿宋_GB2312" w:eastAsia="仿宋_GB2312"/>
          <w:b/>
          <w:bCs/>
          <w:sz w:val="32"/>
          <w:szCs w:val="32"/>
        </w:rPr>
        <w:t>6.压实企业安全生产主体责任。</w:t>
      </w:r>
      <w:r>
        <w:rPr>
          <w:rFonts w:hint="eastAsia" w:ascii="仿宋_GB2312" w:eastAsia="仿宋_GB2312"/>
          <w:sz w:val="32"/>
          <w:szCs w:val="32"/>
        </w:rPr>
        <w:t>全面落实企业全员安全生产责任制，严格落实法定代表人、实际控制人、实际负责人等企业安全生产第一责任人责任，确保企业安全责任、安全投入、安全培训、安全管理和应急救援“五到位”。健全企业隐患自查自改长效机制与事故隐患内部报告制度。</w:t>
      </w:r>
      <w:r>
        <w:rPr>
          <w:rFonts w:hint="eastAsia" w:ascii="仿宋_GB2312" w:eastAsia="仿宋_GB2312"/>
          <w:b w:val="0"/>
          <w:bCs w:val="0"/>
          <w:sz w:val="32"/>
          <w:szCs w:val="32"/>
        </w:rPr>
        <w:t>规范安全生产费用计提与使用管理，探索引入第三方机构开展专项审计。</w:t>
      </w:r>
    </w:p>
    <w:p>
      <w:pPr>
        <w:widowControl/>
        <w:spacing w:line="560" w:lineRule="exact"/>
        <w:ind w:firstLine="640" w:firstLineChars="200"/>
        <w:outlineLvl w:val="1"/>
        <w:rPr>
          <w:rFonts w:hint="eastAsia" w:ascii="楷体_GB2312" w:hAnsi="黑体" w:eastAsia="楷体_GB2312" w:cs="黑体"/>
          <w:sz w:val="32"/>
          <w:szCs w:val="32"/>
        </w:rPr>
      </w:pPr>
      <w:bookmarkStart w:id="29" w:name="_Toc19269"/>
      <w:bookmarkStart w:id="30" w:name="_Toc1283339189"/>
      <w:bookmarkStart w:id="31" w:name="_Toc297944013"/>
      <w:r>
        <w:rPr>
          <w:rFonts w:hint="eastAsia" w:ascii="楷体_GB2312" w:hAnsi="黑体" w:eastAsia="楷体_GB2312" w:cs="黑体"/>
          <w:sz w:val="32"/>
          <w:szCs w:val="32"/>
        </w:rPr>
        <w:t>（二）完善风险防控体系，提升系统治理能力</w:t>
      </w:r>
      <w:bookmarkEnd w:id="29"/>
      <w:bookmarkEnd w:id="30"/>
      <w:bookmarkEnd w:id="31"/>
    </w:p>
    <w:p>
      <w:pPr>
        <w:widowControl/>
        <w:spacing w:line="560" w:lineRule="exact"/>
        <w:ind w:firstLine="642" w:firstLineChars="200"/>
        <w:outlineLvl w:val="2"/>
        <w:rPr>
          <w:rFonts w:hint="eastAsia" w:ascii="仿宋_GB2312" w:hAnsi="仿宋_GB2312" w:eastAsia="仿宋_GB2312" w:cs="仿宋_GB2312"/>
          <w:b w:val="0"/>
          <w:bCs w:val="0"/>
          <w:sz w:val="32"/>
          <w:szCs w:val="32"/>
        </w:rPr>
      </w:pPr>
      <w:r>
        <w:rPr>
          <w:rFonts w:hint="eastAsia" w:ascii="仿宋_GB2312" w:hAnsi="黑体" w:eastAsia="仿宋_GB2312" w:cs="黑体"/>
          <w:b/>
          <w:sz w:val="32"/>
          <w:szCs w:val="32"/>
        </w:rPr>
        <w:t>7</w:t>
      </w:r>
      <w:r>
        <w:rPr>
          <w:rFonts w:ascii="仿宋_GB2312" w:hAnsi="黑体" w:eastAsia="仿宋_GB2312" w:cs="黑体"/>
          <w:b/>
          <w:sz w:val="32"/>
          <w:szCs w:val="32"/>
        </w:rPr>
        <w:t>.迭代</w:t>
      </w:r>
      <w:r>
        <w:rPr>
          <w:rFonts w:hint="eastAsia" w:ascii="仿宋_GB2312" w:hAnsi="黑体" w:eastAsia="仿宋_GB2312" w:cs="黑体"/>
          <w:b/>
          <w:sz w:val="32"/>
          <w:szCs w:val="32"/>
        </w:rPr>
        <w:t>开展</w:t>
      </w:r>
      <w:r>
        <w:rPr>
          <w:rFonts w:ascii="仿宋_GB2312" w:hAnsi="黑体" w:eastAsia="仿宋_GB2312" w:cs="黑体"/>
          <w:b/>
          <w:sz w:val="32"/>
          <w:szCs w:val="32"/>
        </w:rPr>
        <w:t>风险普查评估。</w:t>
      </w:r>
      <w:r>
        <w:rPr>
          <w:rFonts w:hint="eastAsia" w:ascii="仿宋_GB2312" w:hAnsi="仿宋_GB2312" w:eastAsia="仿宋_GB2312" w:cs="仿宋_GB2312"/>
          <w:sz w:val="32"/>
          <w:szCs w:val="32"/>
        </w:rPr>
        <w:t>健全事故灾难风险动态评估体系，定期开展城市安全风险评估，持续完善城市安全风险谱系。</w:t>
      </w:r>
      <w:r>
        <w:rPr>
          <w:rFonts w:hint="eastAsia" w:ascii="仿宋_GB2312" w:hAnsi="仿宋_GB2312" w:eastAsia="仿宋_GB2312" w:cs="仿宋_GB2312"/>
          <w:b w:val="0"/>
          <w:bCs w:val="0"/>
          <w:sz w:val="32"/>
          <w:szCs w:val="32"/>
        </w:rPr>
        <w:t>紧盯城市重要基础设施、填海区域、地下空间、内涝点等关键部位，常态化开展自然灾害综合风险普查评估，不断提升设防标准和抗灾能力。</w:t>
      </w:r>
    </w:p>
    <w:p>
      <w:pPr>
        <w:widowControl/>
        <w:spacing w:line="560" w:lineRule="exact"/>
        <w:ind w:firstLine="642" w:firstLineChars="200"/>
        <w:outlineLvl w:val="2"/>
        <w:rPr>
          <w:rFonts w:hint="eastAsia" w:ascii="仿宋_GB2312" w:hAnsi="楷体" w:eastAsia="仿宋_GB2312" w:cs="楷体"/>
          <w:sz w:val="32"/>
          <w:szCs w:val="32"/>
        </w:rPr>
      </w:pPr>
      <w:r>
        <w:rPr>
          <w:rFonts w:hint="eastAsia" w:ascii="仿宋_GB2312" w:hAnsi="仿宋_GB2312" w:eastAsia="仿宋_GB2312" w:cs="仿宋_GB2312"/>
          <w:b/>
          <w:bCs/>
          <w:sz w:val="32"/>
          <w:szCs w:val="32"/>
        </w:rPr>
        <w:t>8.</w:t>
      </w:r>
      <w:bookmarkStart w:id="32" w:name="OLE_LINK12"/>
      <w:r>
        <w:rPr>
          <w:rFonts w:hint="eastAsia" w:ascii="仿宋_GB2312" w:hAnsi="仿宋_GB2312" w:eastAsia="仿宋_GB2312" w:cs="仿宋_GB2312"/>
          <w:b/>
          <w:bCs/>
          <w:sz w:val="32"/>
          <w:szCs w:val="32"/>
        </w:rPr>
        <w:t>持续强化安全源头治理。</w:t>
      </w:r>
      <w:r>
        <w:rPr>
          <w:rFonts w:hint="eastAsia" w:ascii="仿宋_GB2312" w:hAnsi="仿宋_GB2312" w:eastAsia="仿宋_GB2312" w:cs="仿宋_GB2312"/>
          <w:sz w:val="32"/>
          <w:szCs w:val="32"/>
        </w:rPr>
        <w:t>科学制定灾害设防标准，探索建立自然灾害风险红线约束机制，严格管控山洪、地质灾害等高危区域新建、改建、扩建居民住宅、厂房等各类建设项目。探索建立涉及城市空间的安全控制线制度，将各行业涉及空间安全的控制线，统筹纳入国土空间规划“一张图”。</w:t>
      </w:r>
      <w:r>
        <w:rPr>
          <w:rFonts w:hint="eastAsia" w:ascii="仿宋_GB2312" w:hAnsi="仿宋_GB2312" w:eastAsia="仿宋_GB2312" w:cs="仿宋_GB2312"/>
          <w:sz w:val="32"/>
          <w:szCs w:val="32"/>
          <w:lang w:bidi="ar"/>
        </w:rPr>
        <w:t>动态更新危险化学品“禁限控”目录。</w:t>
      </w:r>
      <w:r>
        <w:rPr>
          <w:rFonts w:hint="eastAsia" w:ascii="仿宋_GB2312" w:hAnsi="楷体" w:eastAsia="仿宋_GB2312" w:cs="楷体"/>
          <w:sz w:val="32"/>
          <w:szCs w:val="32"/>
        </w:rPr>
        <w:t>积极争取国债资金支持，有序推进重大安全基础设备设施建设和老旧防灾设施提质更新，逐步淘汰落后生产工艺和设备。</w:t>
      </w:r>
    </w:p>
    <w:bookmarkEnd w:id="32"/>
    <w:p>
      <w:pPr>
        <w:widowControl/>
        <w:spacing w:line="560" w:lineRule="exact"/>
        <w:ind w:firstLine="642" w:firstLineChars="200"/>
        <w:outlineLvl w:val="2"/>
        <w:rPr>
          <w:rFonts w:ascii="仿宋_GB2312" w:hAnsi="Calibri" w:eastAsia="仿宋_GB2312" w:cs="Calibri"/>
          <w:b/>
          <w:bCs/>
          <w:sz w:val="32"/>
          <w:szCs w:val="32"/>
        </w:rPr>
      </w:pPr>
      <w:bookmarkStart w:id="33" w:name="OLE_LINK13"/>
      <w:r>
        <w:rPr>
          <w:rFonts w:hint="eastAsia" w:ascii="仿宋_GB2312" w:hAnsi="仿宋_GB2312" w:eastAsia="仿宋_GB2312" w:cs="仿宋_GB2312"/>
          <w:b/>
          <w:bCs/>
          <w:sz w:val="32"/>
          <w:szCs w:val="32"/>
        </w:rPr>
        <w:t>9.加快推进安全韧性城市建设。</w:t>
      </w:r>
      <w:r>
        <w:rPr>
          <w:rFonts w:hint="eastAsia" w:ascii="仿宋_GB2312" w:hAnsi="黑体" w:eastAsia="仿宋_GB2312" w:cs="黑体"/>
          <w:sz w:val="32"/>
          <w:szCs w:val="32"/>
        </w:rPr>
        <w:t>编制实施安全韧性城市专项规划，系统提升城市综合韧性</w:t>
      </w:r>
      <w:r>
        <w:rPr>
          <w:rFonts w:hint="eastAsia" w:ascii="仿宋_GB2312" w:hAnsi="楷体_GB2312" w:eastAsia="仿宋_GB2312" w:cs="楷体_GB2312"/>
          <w:sz w:val="32"/>
          <w:szCs w:val="32"/>
        </w:rPr>
        <w:t>水平</w:t>
      </w:r>
      <w:r>
        <w:rPr>
          <w:rFonts w:hint="eastAsia" w:ascii="仿宋_GB2312" w:hAnsi="黑体" w:eastAsia="仿宋_GB2312" w:cs="黑体"/>
          <w:sz w:val="32"/>
          <w:szCs w:val="32"/>
        </w:rPr>
        <w:t>。将极端天气防控要求贯穿城市规划、设计、建设、运营、维护全流程。</w:t>
      </w:r>
      <w:r>
        <w:rPr>
          <w:rFonts w:hint="eastAsia" w:ascii="仿宋_GB2312" w:hAnsi="黑体" w:eastAsia="仿宋_GB2312" w:cs="黑体"/>
          <w:b w:val="0"/>
          <w:bCs w:val="0"/>
          <w:sz w:val="32"/>
          <w:szCs w:val="32"/>
        </w:rPr>
        <w:t>开展</w:t>
      </w:r>
      <w:r>
        <w:rPr>
          <w:rFonts w:hint="eastAsia" w:ascii="仿宋_GB2312" w:hAnsi="Calibri" w:eastAsia="仿宋_GB2312" w:cs="Calibri"/>
          <w:b w:val="0"/>
          <w:bCs w:val="0"/>
          <w:sz w:val="32"/>
          <w:szCs w:val="32"/>
        </w:rPr>
        <w:t>中心城区安全韧性评估，精准研判高层建筑聚集区、连片地下空间等区域系统性安全风险。加强水网、新型电网、算力网、新一代通信网、城市地下管网、物流网等“六张网”规划建设，结合实际采取分布式冗余布局，提升抗损毁能力</w:t>
      </w:r>
      <w:r>
        <w:rPr>
          <w:rStyle w:val="33"/>
          <w:rFonts w:hint="eastAsia" w:ascii="仿宋_GB2312" w:hAnsi="Calibri" w:eastAsia="仿宋_GB2312" w:cs="Calibri"/>
          <w:b w:val="0"/>
          <w:bCs w:val="0"/>
          <w:sz w:val="32"/>
          <w:szCs w:val="32"/>
        </w:rPr>
        <w:footnoteReference w:id="1"/>
      </w:r>
      <w:r>
        <w:rPr>
          <w:rFonts w:hint="eastAsia" w:ascii="仿宋_GB2312" w:hAnsi="Calibri" w:eastAsia="仿宋_GB2312" w:cs="Calibri"/>
          <w:b w:val="0"/>
          <w:bCs w:val="0"/>
          <w:sz w:val="32"/>
          <w:szCs w:val="32"/>
        </w:rPr>
        <w:t>。</w:t>
      </w:r>
      <w:r>
        <w:rPr>
          <w:rFonts w:hint="eastAsia" w:ascii="仿宋_GB2312" w:hAnsi="Calibri" w:eastAsia="仿宋_GB2312" w:cs="Calibri"/>
          <w:sz w:val="32"/>
          <w:szCs w:val="32"/>
        </w:rPr>
        <w:t>优化城市防灾减灾空间布局，完善城市竖向空间利用，合理</w:t>
      </w:r>
      <w:r>
        <w:rPr>
          <w:rFonts w:ascii="仿宋_GB2312" w:hAnsi="Calibri" w:eastAsia="仿宋_GB2312" w:cs="Calibri"/>
          <w:sz w:val="32"/>
          <w:szCs w:val="32"/>
        </w:rPr>
        <w:t>增设生态</w:t>
      </w:r>
      <w:r>
        <w:rPr>
          <w:rFonts w:hint="eastAsia" w:ascii="仿宋_GB2312" w:hAnsi="Calibri" w:eastAsia="仿宋_GB2312" w:cs="Calibri"/>
          <w:sz w:val="32"/>
          <w:szCs w:val="32"/>
        </w:rPr>
        <w:t>防护</w:t>
      </w:r>
      <w:r>
        <w:rPr>
          <w:rFonts w:ascii="仿宋_GB2312" w:hAnsi="Calibri" w:eastAsia="仿宋_GB2312" w:cs="Calibri"/>
          <w:sz w:val="32"/>
          <w:szCs w:val="32"/>
        </w:rPr>
        <w:t>屏障</w:t>
      </w:r>
      <w:r>
        <w:rPr>
          <w:rFonts w:hint="eastAsia" w:ascii="仿宋_GB2312" w:hAnsi="Calibri" w:eastAsia="仿宋_GB2312" w:cs="Calibri"/>
          <w:sz w:val="32"/>
          <w:szCs w:val="32"/>
        </w:rPr>
        <w:t>与应急</w:t>
      </w:r>
      <w:r>
        <w:rPr>
          <w:rFonts w:ascii="仿宋_GB2312" w:hAnsi="Calibri" w:eastAsia="仿宋_GB2312" w:cs="Calibri"/>
          <w:sz w:val="32"/>
          <w:szCs w:val="32"/>
        </w:rPr>
        <w:t>疏散通道，提升灾害缓冲和应急疏散能力</w:t>
      </w:r>
      <w:r>
        <w:rPr>
          <w:rFonts w:hint="eastAsia" w:ascii="仿宋_GB2312" w:hAnsi="Calibri" w:eastAsia="仿宋_GB2312" w:cs="Calibri"/>
          <w:sz w:val="32"/>
          <w:szCs w:val="32"/>
        </w:rPr>
        <w:t>。</w:t>
      </w:r>
      <w:r>
        <w:rPr>
          <w:rFonts w:hint="eastAsia" w:ascii="仿宋_GB2312" w:hAnsi="Calibri" w:eastAsia="仿宋_GB2312"/>
          <w:b w:val="0"/>
          <w:bCs w:val="0"/>
          <w:sz w:val="32"/>
          <w:szCs w:val="32"/>
        </w:rPr>
        <w:t>推进综合减灾社区向安全韧性社区转型，</w:t>
      </w:r>
      <w:r>
        <w:rPr>
          <w:rFonts w:hint="eastAsia" w:ascii="仿宋_GB2312" w:hAnsi="Calibri" w:eastAsia="仿宋_GB2312"/>
          <w:sz w:val="32"/>
          <w:szCs w:val="32"/>
        </w:rPr>
        <w:t>针对临海、临河、有林、工业园区、城中村等5类社区的典型风险，分类制定差异化防控措施。</w:t>
      </w:r>
      <w:bookmarkEnd w:id="33"/>
    </w:p>
    <w:p>
      <w:pPr>
        <w:widowControl/>
        <w:spacing w:line="560" w:lineRule="exact"/>
        <w:ind w:firstLine="642" w:firstLineChars="200"/>
        <w:outlineLvl w:val="2"/>
        <w:rPr>
          <w:rFonts w:ascii="仿宋_GB2312" w:hAnsi="Calibri" w:eastAsia="仿宋_GB2312" w:cs="Calibri"/>
          <w:sz w:val="32"/>
          <w:szCs w:val="32"/>
        </w:rPr>
      </w:pPr>
      <w:r>
        <w:rPr>
          <w:rFonts w:hint="eastAsia" w:ascii="仿宋_GB2312" w:hAnsi="Calibri" w:eastAsia="仿宋_GB2312" w:cs="Calibri"/>
          <w:b/>
          <w:bCs/>
          <w:sz w:val="32"/>
          <w:szCs w:val="32"/>
        </w:rPr>
        <w:t>10.推动重大事故隐患动态清零。</w:t>
      </w:r>
      <w:r>
        <w:rPr>
          <w:rFonts w:hint="eastAsia" w:ascii="仿宋_GB2312" w:hAnsi="黑体" w:eastAsia="仿宋_GB2312" w:cs="黑体"/>
          <w:sz w:val="32"/>
          <w:szCs w:val="32"/>
        </w:rPr>
        <w:t>聚焦道路交通、化工和危险化学品、城镇燃气、工程建设、消防、工贸、特种设备、水上交通、锂电池等重点行业领域，坚持面上普查与重点详查相结合，严格按照</w:t>
      </w:r>
      <w:r>
        <w:rPr>
          <w:rFonts w:hint="eastAsia" w:ascii="仿宋_GB2312" w:hAnsi="Calibri" w:eastAsia="仿宋_GB2312" w:cs="Calibri"/>
          <w:sz w:val="32"/>
          <w:szCs w:val="32"/>
        </w:rPr>
        <w:t>重大事故隐患判定标准开展隐患排查，</w:t>
      </w:r>
      <w:r>
        <w:rPr>
          <w:rFonts w:hint="eastAsia" w:ascii="仿宋_GB2312" w:hAnsi="黑体" w:eastAsia="仿宋_GB2312" w:cs="黑体"/>
          <w:sz w:val="32"/>
          <w:szCs w:val="32"/>
        </w:rPr>
        <w:t>持续推进重大事故隐患动态清零。</w:t>
      </w:r>
      <w:r>
        <w:rPr>
          <w:rFonts w:hint="eastAsia" w:ascii="仿宋_GB2312" w:hAnsi="黑体" w:eastAsia="仿宋_GB2312" w:cs="黑体"/>
          <w:bCs/>
          <w:sz w:val="32"/>
          <w:szCs w:val="32"/>
        </w:rPr>
        <w:t>强化自然灾害综合防治</w:t>
      </w:r>
      <w:r>
        <w:rPr>
          <w:rFonts w:hint="eastAsia" w:ascii="仿宋_GB2312" w:hAnsi="黑体" w:eastAsia="仿宋_GB2312" w:cs="黑体"/>
          <w:sz w:val="32"/>
          <w:szCs w:val="32"/>
        </w:rPr>
        <w:t>，系统开展汛旱风、地震、地质灾害、海洋灾害、森林火灾等灾害隐患排查整治。</w:t>
      </w:r>
    </w:p>
    <w:p>
      <w:pPr>
        <w:widowControl/>
        <w:spacing w:line="560" w:lineRule="exact"/>
        <w:ind w:firstLine="642" w:firstLineChars="200"/>
        <w:outlineLvl w:val="2"/>
        <w:rPr>
          <w:rFonts w:hint="eastAsia" w:ascii="仿宋_GB2312" w:hAnsi="黑体" w:eastAsia="仿宋_GB2312" w:cs="黑体"/>
          <w:sz w:val="32"/>
          <w:szCs w:val="32"/>
        </w:rPr>
      </w:pPr>
      <w:r>
        <w:rPr>
          <w:rFonts w:hint="eastAsia" w:ascii="仿宋_GB2312" w:hAnsi="Calibri" w:eastAsia="仿宋_GB2312" w:cs="Calibri"/>
          <w:b/>
          <w:bCs/>
          <w:sz w:val="32"/>
          <w:szCs w:val="32"/>
        </w:rPr>
        <w:t>11.深化全链条管控</w:t>
      </w:r>
      <w:r>
        <w:rPr>
          <w:rFonts w:hint="eastAsia" w:ascii="仿宋_GB2312" w:hAnsi="黑体" w:eastAsia="仿宋_GB2312" w:cs="黑体"/>
          <w:b/>
          <w:bCs/>
          <w:sz w:val="32"/>
          <w:szCs w:val="32"/>
        </w:rPr>
        <w:t>与小切口专项攻坚</w:t>
      </w:r>
      <w:r>
        <w:rPr>
          <w:rFonts w:hint="eastAsia" w:ascii="仿宋_GB2312" w:hAnsi="Calibri" w:eastAsia="仿宋_GB2312" w:cs="Calibri"/>
          <w:b/>
          <w:bCs/>
          <w:sz w:val="32"/>
          <w:szCs w:val="32"/>
        </w:rPr>
        <w:t>。</w:t>
      </w:r>
      <w:r>
        <w:rPr>
          <w:rFonts w:hint="eastAsia" w:ascii="仿宋_GB2312" w:eastAsia="仿宋_GB2312"/>
          <w:b w:val="0"/>
          <w:bCs w:val="0"/>
          <w:sz w:val="32"/>
          <w:szCs w:val="32"/>
        </w:rPr>
        <w:t>聚</w:t>
      </w:r>
      <w:r>
        <w:rPr>
          <w:rFonts w:hint="eastAsia" w:ascii="仿宋_GB2312" w:hAnsi="Calibri" w:eastAsia="仿宋_GB2312"/>
          <w:b w:val="0"/>
          <w:bCs w:val="0"/>
          <w:sz w:val="32"/>
          <w:szCs w:val="32"/>
          <w:lang w:bidi="ar"/>
        </w:rPr>
        <w:t>焦超高层建筑消防、人员密集场所动火作业、电动自行车安全、隧道工程施工、化工园区运行等突出安全问题，以及低空经济、银发经济、海洋经济、新能源等新兴领域风险，构建“一件事”全链条安全管控体系。</w:t>
      </w:r>
      <w:r>
        <w:rPr>
          <w:rFonts w:hint="eastAsia" w:ascii="仿宋_GB2312" w:hAnsi="黑体" w:eastAsia="仿宋_GB2312" w:cs="黑体"/>
          <w:b w:val="0"/>
          <w:bCs w:val="0"/>
          <w:sz w:val="32"/>
          <w:szCs w:val="32"/>
        </w:rPr>
        <w:t>紧盯高处坠落、触电、物体打击等高频事故类型，动火、有限空间、特种设备作业等高风险工序，自建房、厂中厂、危化品仓库等风险集聚点位，以及国管、省管工程安全协同管理等重点环节，深入开展类案分析，挖掘共性问题和深层次诱因，坚持综合施策、系统治理，推动风险源头化解，实现标本兼治。</w:t>
      </w:r>
    </w:p>
    <w:tbl>
      <w:tblPr>
        <w:tblStyle w:val="26"/>
        <w:tblW w:w="8628" w:type="dxa"/>
        <w:jc w:val="center"/>
        <w:tblLayout w:type="fixed"/>
        <w:tblCellMar>
          <w:top w:w="0" w:type="dxa"/>
          <w:left w:w="108" w:type="dxa"/>
          <w:bottom w:w="0" w:type="dxa"/>
          <w:right w:w="108" w:type="dxa"/>
        </w:tblCellMar>
      </w:tblPr>
      <w:tblGrid>
        <w:gridCol w:w="8628"/>
      </w:tblGrid>
      <w:tr>
        <w:tblPrEx>
          <w:tblCellMar>
            <w:top w:w="0" w:type="dxa"/>
            <w:left w:w="108" w:type="dxa"/>
            <w:bottom w:w="0" w:type="dxa"/>
            <w:right w:w="108" w:type="dxa"/>
          </w:tblCellMar>
        </w:tblPrEx>
        <w:trPr>
          <w:cantSplit/>
          <w:jc w:val="center"/>
        </w:trPr>
        <w:tc>
          <w:tcPr>
            <w:tcW w:w="862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_GB2312" w:hAnsi="方正仿宋_GB18030" w:eastAsia="仿宋_GB2312" w:cs="方正仿宋_GB18030"/>
                <w:b/>
                <w:szCs w:val="21"/>
                <w:lang w:bidi="ar"/>
              </w:rPr>
            </w:pPr>
            <w:r>
              <w:rPr>
                <w:rFonts w:hint="eastAsia" w:ascii="仿宋_GB2312" w:hAnsi="方正仿宋_GB18030" w:eastAsia="仿宋_GB2312" w:cs="方正仿宋_GB18030"/>
                <w:b/>
                <w:szCs w:val="21"/>
                <w:lang w:bidi="ar"/>
              </w:rPr>
              <w:t>专栏2 风险防控能力建设工程</w:t>
            </w:r>
          </w:p>
        </w:tc>
      </w:tr>
      <w:tr>
        <w:tblPrEx>
          <w:tblCellMar>
            <w:top w:w="0" w:type="dxa"/>
            <w:left w:w="108" w:type="dxa"/>
            <w:bottom w:w="0" w:type="dxa"/>
            <w:right w:w="108" w:type="dxa"/>
          </w:tblCellMar>
        </w:tblPrEx>
        <w:trPr>
          <w:trHeight w:val="1355" w:hRule="atLeast"/>
          <w:tblHeader/>
          <w:jc w:val="center"/>
        </w:trPr>
        <w:tc>
          <w:tcPr>
            <w:tcW w:w="8628" w:type="dxa"/>
            <w:tcBorders>
              <w:top w:val="single" w:color="000000" w:sz="4" w:space="0"/>
              <w:left w:val="single" w:color="000000" w:sz="4" w:space="0"/>
              <w:bottom w:val="single" w:color="000000" w:sz="4" w:space="0"/>
              <w:right w:val="single" w:color="000000" w:sz="4" w:space="0"/>
            </w:tcBorders>
            <w:noWrap/>
          </w:tcPr>
          <w:p>
            <w:pPr>
              <w:widowControl/>
              <w:spacing w:line="320" w:lineRule="atLeast"/>
              <w:rPr>
                <w:rFonts w:hint="eastAsia" w:ascii="仿宋_GB2312" w:hAnsi="方正仿宋_GB18030" w:eastAsia="仿宋_GB2312" w:cs="方正仿宋_GB18030"/>
                <w:szCs w:val="21"/>
              </w:rPr>
            </w:pPr>
            <w:r>
              <w:rPr>
                <w:rFonts w:hint="eastAsia" w:ascii="仿宋_GB2312" w:hAnsi="方正仿宋_GB18030" w:eastAsia="仿宋_GB2312" w:cs="方正仿宋_GB18030"/>
                <w:b/>
                <w:bCs/>
                <w:szCs w:val="21"/>
              </w:rPr>
              <w:t>1.自然灾害精细化风险评估与临灾预警。</w:t>
            </w:r>
            <w:r>
              <w:rPr>
                <w:rFonts w:hint="eastAsia" w:ascii="仿宋_GB2312" w:hAnsi="方正仿宋_GB18030" w:eastAsia="仿宋_GB2312" w:cs="方正仿宋_GB18030"/>
                <w:szCs w:val="21"/>
              </w:rPr>
              <w:t>组织实施自然灾害精细化风险评估，明确灾害影响范围，划定各类自然灾害风险重点防控期、重大事故风险点和重点防控单位。以风险评估为基础，构建灾害风险治理“一张表”、减灾资源调度“一张网”、临灾预警“一张图”，提升辅助指挥决策能力。</w:t>
            </w:r>
          </w:p>
          <w:p>
            <w:pPr>
              <w:widowControl/>
              <w:spacing w:line="320" w:lineRule="atLeast"/>
              <w:rPr>
                <w:rFonts w:hint="eastAsia" w:ascii="仿宋_GB2312" w:hAnsi="方正仿宋_GB18030" w:eastAsia="仿宋_GB2312" w:cs="方正仿宋_GB18030"/>
                <w:color w:val="auto"/>
                <w:szCs w:val="21"/>
              </w:rPr>
            </w:pPr>
            <w:r>
              <w:rPr>
                <w:rFonts w:hint="eastAsia" w:ascii="仿宋_GB2312" w:hAnsi="方正仿宋_GB18030" w:eastAsia="仿宋_GB2312" w:cs="方正仿宋_GB18030"/>
                <w:b/>
                <w:bCs/>
                <w:color w:val="auto"/>
                <w:szCs w:val="21"/>
              </w:rPr>
              <w:t>2.</w:t>
            </w:r>
            <w:r>
              <w:rPr>
                <w:rFonts w:hint="eastAsia" w:ascii="仿宋_GB2312" w:hAnsi="方正仿宋_GB18030" w:eastAsia="仿宋_GB2312" w:cs="方正仿宋_GB18030"/>
                <w:b/>
                <w:bCs/>
                <w:color w:val="auto"/>
                <w:szCs w:val="21"/>
                <w:lang w:bidi="ar"/>
              </w:rPr>
              <w:t>隧道工程风险联防联控。</w:t>
            </w:r>
            <w:r>
              <w:rPr>
                <w:rFonts w:hint="eastAsia" w:ascii="仿宋_GB2312" w:hAnsi="方正仿宋_GB18030" w:eastAsia="仿宋_GB2312" w:cs="方正仿宋_GB18030"/>
                <w:color w:val="auto"/>
                <w:szCs w:val="21"/>
                <w:lang w:bidi="ar"/>
              </w:rPr>
              <w:t>构建隧道工程“一件事”全链条安全风险防控体系，开展城市地质基础调查，完善全市地质水文风险“一张图”，提供源头风险数据保障，实现建设环境高风险区域精准判定；实施InSAR广域长周期变形监测与地下水位监测，织密监测预警“一张网”，实现隧道工程沿线承灾体立体动态监测预警；建设“隧道工程建设环境风险监测预警调度系统”，提升隧道工程风险调度和联防联控能力。</w:t>
            </w:r>
          </w:p>
          <w:p>
            <w:pPr>
              <w:widowControl/>
              <w:spacing w:line="320" w:lineRule="atLeast"/>
              <w:rPr>
                <w:rFonts w:hint="eastAsia" w:ascii="仿宋_GB2312" w:hAnsi="方正仿宋_GB18030" w:eastAsia="仿宋_GB2312" w:cs="方正仿宋_GB18030"/>
                <w:b/>
                <w:bCs/>
                <w:szCs w:val="21"/>
              </w:rPr>
            </w:pPr>
            <w:r>
              <w:rPr>
                <w:rFonts w:hint="eastAsia" w:ascii="仿宋_GB2312" w:hAnsi="方正仿宋_GB18030" w:eastAsia="仿宋_GB2312" w:cs="方正仿宋_GB18030"/>
                <w:b/>
                <w:bCs/>
                <w:szCs w:val="21"/>
              </w:rPr>
              <w:t>3.城市安全韧性评估与重点对象韧性能力提升。</w:t>
            </w:r>
            <w:r>
              <w:rPr>
                <w:rFonts w:hint="eastAsia" w:ascii="仿宋_GB2312" w:hAnsi="方正仿宋_GB18030" w:eastAsia="仿宋_GB2312" w:cs="方正仿宋_GB18030"/>
                <w:szCs w:val="21"/>
              </w:rPr>
              <w:t>开展全域安全韧性现状评估，明确深圳安全韧性现状水平、梳理韧性城市短板问题清单。建立重点对象安全韧性能力评估工具体系。分年度开展重点对象（如南山后海片区、深中通道、深交所、春风隧道等）韧性能力评估，提出相关韧性提升建议。</w:t>
            </w:r>
          </w:p>
          <w:p>
            <w:pPr>
              <w:widowControl/>
              <w:spacing w:line="320" w:lineRule="atLeast"/>
              <w:rPr>
                <w:rFonts w:hint="eastAsia" w:ascii="仿宋_GB2312" w:hAnsi="方正仿宋_GB18030" w:eastAsia="仿宋_GB2312" w:cs="方正仿宋_GB18030"/>
                <w:szCs w:val="21"/>
              </w:rPr>
            </w:pPr>
            <w:r>
              <w:rPr>
                <w:rFonts w:hint="eastAsia" w:ascii="仿宋_GB2312" w:hAnsi="方正仿宋_GB18030" w:eastAsia="仿宋_GB2312" w:cs="方正仿宋_GB18030"/>
                <w:b/>
                <w:bCs/>
                <w:szCs w:val="21"/>
              </w:rPr>
              <w:t>4.气象灾害风险监测预警。</w:t>
            </w:r>
            <w:r>
              <w:rPr>
                <w:rFonts w:hint="eastAsia" w:ascii="仿宋_GB2312" w:hAnsi="方正仿宋_GB18030" w:eastAsia="仿宋_GB2312" w:cs="方正仿宋_GB18030"/>
                <w:szCs w:val="21"/>
              </w:rPr>
              <w:t>推动气象监测系统、气象服务设备以及气象网络安全设施升级更新，实现全市超期服役的气象设施设备占比下降到39%左右，地面气象观测站间距提升到2.3km左右；建设光明综合气象观测基地，增加一批自动气象观测站，构建协同立体观测体系。</w:t>
            </w:r>
          </w:p>
          <w:p>
            <w:pPr>
              <w:widowControl/>
              <w:spacing w:line="320" w:lineRule="atLeast"/>
              <w:rPr>
                <w:rFonts w:hint="eastAsia" w:ascii="仿宋_GB2312" w:hAnsi="方正仿宋_GB18030" w:eastAsia="仿宋_GB2312" w:cs="方正仿宋_GB18030"/>
                <w:b/>
                <w:bCs/>
                <w:szCs w:val="21"/>
              </w:rPr>
            </w:pPr>
            <w:r>
              <w:rPr>
                <w:rFonts w:hint="eastAsia" w:ascii="仿宋_GB2312" w:hAnsi="方正仿宋_GB18030" w:eastAsia="仿宋_GB2312" w:cs="方正仿宋_GB18030"/>
                <w:b/>
                <w:bCs/>
                <w:szCs w:val="21"/>
              </w:rPr>
              <w:t>5.深汕高端电子化学品产业园精细化智能化服务。</w:t>
            </w:r>
            <w:r>
              <w:rPr>
                <w:rFonts w:hint="eastAsia" w:ascii="仿宋_GB2312" w:hAnsi="方正仿宋_GB18030" w:eastAsia="仿宋_GB2312" w:cs="方正仿宋_GB18030"/>
                <w:szCs w:val="21"/>
              </w:rPr>
              <w:t>深入推动智能先进装备设备应用，搭建化工园区空地全域全景的数字孪生电子沙盘，推进前端感知物联数据融合，推进化工园区和企业的智能问数、风险画像和态势感知预警闭环的AI智能分析算法，建立化工园区、企业安全风险指数体系。</w:t>
            </w:r>
          </w:p>
          <w:p>
            <w:pPr>
              <w:widowControl/>
              <w:spacing w:line="320" w:lineRule="atLeast"/>
              <w:rPr>
                <w:rFonts w:hint="eastAsia" w:ascii="仿宋_GB2312" w:hAnsi="方正仿宋_GB18030" w:eastAsia="仿宋_GB2312" w:cs="方正仿宋_GB18030"/>
                <w:szCs w:val="21"/>
              </w:rPr>
            </w:pPr>
            <w:r>
              <w:rPr>
                <w:rFonts w:hint="eastAsia" w:ascii="仿宋_GB2312" w:hAnsi="方正仿宋_GB18030" w:eastAsia="仿宋_GB2312" w:cs="方正仿宋_GB18030"/>
                <w:b/>
                <w:bCs/>
                <w:szCs w:val="21"/>
              </w:rPr>
              <w:t>6.地震灾害风险监测预警。</w:t>
            </w:r>
            <w:r>
              <w:rPr>
                <w:rFonts w:hint="eastAsia" w:ascii="仿宋_GB2312" w:hAnsi="方正仿宋_GB18030" w:eastAsia="仿宋_GB2312" w:cs="方正仿宋_GB18030"/>
                <w:szCs w:val="21"/>
              </w:rPr>
              <w:t>开展已建21个地震监测台站标准化改造，在深汕特别合作区补充建设地震监测台网，建设地震数据综合分析平台；补充摸清深汕特别合作区地下活断层、潜在震源分布和危险性，探查建（构）筑物及生命线工程抗震性能，开展该区域活动断层探测及地震危险性评价，查明主要断裂空间展布与活动性；开展地震灾害风险评估及震害预测，编制深汕特别合作区地震灾害风险区划图。</w:t>
            </w:r>
          </w:p>
          <w:p>
            <w:pPr>
              <w:widowControl/>
              <w:spacing w:line="320" w:lineRule="atLeast"/>
              <w:rPr>
                <w:rFonts w:hint="eastAsia" w:ascii="仿宋_GB2312" w:hAnsi="方正仿宋_GB18030" w:eastAsia="仿宋_GB2312" w:cs="方正仿宋_GB18030"/>
                <w:szCs w:val="21"/>
              </w:rPr>
            </w:pPr>
            <w:r>
              <w:rPr>
                <w:rFonts w:hint="eastAsia" w:ascii="仿宋_GB2312" w:hAnsi="方正仿宋_GB18030" w:eastAsia="仿宋_GB2312" w:cs="方正仿宋_GB18030"/>
                <w:b/>
                <w:bCs/>
                <w:szCs w:val="21"/>
              </w:rPr>
              <w:t>7.地质灾害风险监测预警。</w:t>
            </w:r>
            <w:r>
              <w:rPr>
                <w:rFonts w:hint="eastAsia" w:ascii="仿宋_GB2312" w:hAnsi="方正仿宋_GB18030" w:eastAsia="仿宋_GB2312" w:cs="方正仿宋_GB18030"/>
                <w:szCs w:val="21"/>
              </w:rPr>
              <w:t>建设国土空间地质安全风险防控重点实验室，推进极端条件群发性重特大地质灾害、海洋（海岸带）地质过程与灾害机理、透明地质和实景三维平台构建与应用、地质安全风险防控技术标准与管理体系等研究应用；开展重点区域地面坍塌隐患排查和智能化动态风险评估，基于我市暗渠化河道空间分布，开展地面坍塌隐患排查与综合评估，构建结构化时空数据集和地面坍塌智能风险评估模型，动态划分道路地面坍塌风险等级。</w:t>
            </w:r>
          </w:p>
          <w:p>
            <w:pPr>
              <w:widowControl/>
              <w:spacing w:line="320" w:lineRule="atLeast"/>
              <w:rPr>
                <w:rFonts w:hint="eastAsia" w:ascii="仿宋_GB2312" w:hAnsi="方正仿宋_GB18030" w:eastAsia="仿宋_GB2312" w:cs="方正仿宋_GB18030"/>
                <w:b w:val="0"/>
                <w:bCs w:val="0"/>
                <w:szCs w:val="21"/>
                <w:lang w:val="en-US" w:eastAsia="zh-CN"/>
              </w:rPr>
            </w:pPr>
            <w:r>
              <w:rPr>
                <w:rFonts w:hint="eastAsia" w:ascii="仿宋_GB2312" w:hAnsi="方正仿宋_GB18030" w:eastAsia="仿宋_GB2312" w:cs="方正仿宋_GB18030"/>
                <w:b/>
                <w:bCs/>
                <w:szCs w:val="21"/>
                <w:lang w:val="en-US" w:eastAsia="zh-CN"/>
              </w:rPr>
              <w:t>8.重点片区防洪（潮）排涝能力提升工程。</w:t>
            </w:r>
            <w:r>
              <w:rPr>
                <w:rFonts w:hint="eastAsia" w:ascii="仿宋_GB2312" w:hAnsi="方正仿宋_GB18030" w:eastAsia="仿宋_GB2312" w:cs="方正仿宋_GB18030"/>
                <w:b w:val="0"/>
                <w:bCs w:val="0"/>
                <w:szCs w:val="21"/>
                <w:lang w:val="en-US" w:eastAsia="zh-CN"/>
              </w:rPr>
              <w:t>推进布吉河等河流整治工程等防洪项目，推动实施中英街、沙头角、新大生态海堤等防潮项目，开展坪山区南布片区蓄滞洪工程等防洪排涝项目。</w:t>
            </w:r>
          </w:p>
          <w:p>
            <w:pPr>
              <w:widowControl/>
              <w:spacing w:line="320" w:lineRule="atLeast"/>
              <w:rPr>
                <w:rFonts w:hint="eastAsia" w:ascii="仿宋_GB2312" w:hAnsi="方正仿宋_GB18030" w:eastAsia="仿宋_GB2312" w:cs="方正仿宋_GB18030"/>
                <w:szCs w:val="21"/>
              </w:rPr>
            </w:pPr>
            <w:r>
              <w:rPr>
                <w:rFonts w:hint="eastAsia" w:ascii="仿宋_GB2312" w:hAnsi="方正仿宋_GB18030" w:eastAsia="仿宋_GB2312" w:cs="方正仿宋_GB18030"/>
                <w:b/>
                <w:bCs/>
                <w:szCs w:val="21"/>
                <w:lang w:val="en-US" w:eastAsia="zh-CN"/>
              </w:rPr>
              <w:t>9</w:t>
            </w:r>
            <w:r>
              <w:rPr>
                <w:rFonts w:hint="eastAsia" w:ascii="仿宋_GB2312" w:hAnsi="方正仿宋_GB18030" w:eastAsia="仿宋_GB2312" w:cs="方正仿宋_GB18030"/>
                <w:b/>
                <w:bCs/>
                <w:szCs w:val="21"/>
              </w:rPr>
              <w:t>.电动自行车“空中充电站”推广。</w:t>
            </w:r>
            <w:r>
              <w:rPr>
                <w:rFonts w:hint="eastAsia" w:ascii="仿宋_GB2312" w:hAnsi="方正仿宋_GB18030" w:eastAsia="仿宋_GB2312" w:cs="方正仿宋_GB18030"/>
                <w:szCs w:val="21"/>
              </w:rPr>
              <w:t>试点推广集“光、储、充、换、检、停”于一体的电动自行车立体充电站，探索集中停放、安全便民、市容提升的电动自行车管理新路径。</w:t>
            </w:r>
          </w:p>
        </w:tc>
      </w:tr>
    </w:tbl>
    <w:p>
      <w:pPr>
        <w:rPr>
          <w:rFonts w:hint="eastAsia"/>
          <w:vanish/>
        </w:rPr>
      </w:pPr>
    </w:p>
    <w:p>
      <w:pPr>
        <w:widowControl/>
        <w:spacing w:line="560" w:lineRule="exact"/>
        <w:ind w:firstLine="640" w:firstLineChars="200"/>
        <w:outlineLvl w:val="1"/>
        <w:rPr>
          <w:rFonts w:hint="eastAsia" w:ascii="楷体_GB2312" w:hAnsi="黑体" w:eastAsia="楷体_GB2312" w:cs="黑体"/>
          <w:sz w:val="32"/>
          <w:szCs w:val="32"/>
        </w:rPr>
      </w:pPr>
      <w:bookmarkStart w:id="34" w:name="_Toc139221280"/>
      <w:bookmarkStart w:id="35" w:name="_Toc11946"/>
      <w:bookmarkStart w:id="36" w:name="_Toc2046140116"/>
      <w:r>
        <w:rPr>
          <w:rFonts w:hint="eastAsia" w:ascii="楷体_GB2312" w:hAnsi="黑体" w:eastAsia="楷体_GB2312" w:cs="黑体"/>
          <w:sz w:val="32"/>
          <w:szCs w:val="32"/>
        </w:rPr>
        <w:t>（三）完善应急处置体系，提升科学应对能力</w:t>
      </w:r>
      <w:bookmarkEnd w:id="34"/>
      <w:bookmarkEnd w:id="35"/>
      <w:bookmarkEnd w:id="36"/>
    </w:p>
    <w:p>
      <w:pPr>
        <w:widowControl/>
        <w:spacing w:line="560" w:lineRule="exact"/>
        <w:ind w:firstLine="642" w:firstLineChars="200"/>
        <w:outlineLvl w:val="2"/>
        <w:rPr>
          <w:rFonts w:hint="eastAsia" w:ascii="仿宋_GB2312" w:hAnsi="黑体" w:eastAsia="仿宋_GB2312" w:cs="黑体"/>
          <w:bCs/>
          <w:sz w:val="32"/>
          <w:szCs w:val="32"/>
        </w:rPr>
      </w:pPr>
      <w:bookmarkStart w:id="37" w:name="_Toc99042218"/>
      <w:r>
        <w:rPr>
          <w:rFonts w:hint="eastAsia" w:ascii="仿宋_GB2312" w:hAnsi="黑体" w:eastAsia="仿宋_GB2312" w:cs="黑体"/>
          <w:b/>
          <w:sz w:val="32"/>
          <w:szCs w:val="32"/>
        </w:rPr>
        <w:t>12.强化应急准备。</w:t>
      </w:r>
      <w:r>
        <w:rPr>
          <w:rFonts w:hint="eastAsia" w:ascii="仿宋_GB2312" w:hAnsi="黑体" w:eastAsia="仿宋_GB2312" w:cs="黑体"/>
          <w:bCs/>
          <w:sz w:val="32"/>
          <w:szCs w:val="32"/>
        </w:rPr>
        <w:t>修订</w:t>
      </w:r>
      <w:r>
        <w:rPr>
          <w:rFonts w:hint="eastAsia" w:ascii="仿宋_GB2312" w:hAnsi="仿宋_GB2312" w:eastAsia="仿宋_GB2312" w:cs="仿宋_GB2312"/>
          <w:sz w:val="32"/>
        </w:rPr>
        <w:t>《深圳市突发事件总体应急预案》，推动全市各级各类应急预案修编，持续优化全市应急预案体系。</w:t>
      </w:r>
      <w:r>
        <w:rPr>
          <w:rFonts w:hint="eastAsia" w:ascii="仿宋_GB2312" w:hAnsi="黑体" w:eastAsia="仿宋_GB2312" w:cs="黑体"/>
          <w:b w:val="0"/>
          <w:bCs w:val="0"/>
          <w:sz w:val="32"/>
          <w:szCs w:val="32"/>
        </w:rPr>
        <w:t>结合灾害风险普查数据，合理构建巨灾情景，完善巨灾应对措施。</w:t>
      </w:r>
      <w:r>
        <w:rPr>
          <w:rFonts w:hint="eastAsia" w:ascii="仿宋_GB2312" w:hAnsi="仿宋_GB2312" w:eastAsia="仿宋_GB2312" w:cs="仿宋_GB2312"/>
          <w:sz w:val="32"/>
        </w:rPr>
        <w:t>完善应急物资保障体系，</w:t>
      </w:r>
      <w:r>
        <w:rPr>
          <w:rFonts w:hint="eastAsia" w:ascii="仿宋_GB2312" w:hAnsi="黑体" w:eastAsia="仿宋_GB2312" w:cs="黑体"/>
          <w:bCs/>
          <w:sz w:val="32"/>
          <w:szCs w:val="32"/>
        </w:rPr>
        <w:t>高标准建设市级综合应急物资储备库，</w:t>
      </w:r>
      <w:r>
        <w:rPr>
          <w:rFonts w:hint="eastAsia" w:ascii="仿宋_GB2312" w:hAnsi="仿宋_GB2312" w:eastAsia="仿宋_GB2312" w:cs="仿宋_GB2312"/>
          <w:sz w:val="32"/>
        </w:rPr>
        <w:t>深入落实“2+N+1”</w:t>
      </w:r>
      <w:r>
        <w:rPr>
          <w:rFonts w:hint="eastAsia" w:ascii="仿宋_GB2312" w:hAnsi="仿宋_GB2312"/>
          <w:sz w:val="32"/>
          <w:vertAlign w:val="superscript"/>
        </w:rPr>
        <w:footnoteReference w:id="2"/>
      </w:r>
      <w:r>
        <w:rPr>
          <w:rFonts w:hint="eastAsia" w:ascii="仿宋_GB2312" w:hAnsi="仿宋_GB2312" w:eastAsia="仿宋_GB2312" w:cs="仿宋_GB2312"/>
          <w:sz w:val="32"/>
        </w:rPr>
        <w:t>建设布局，</w:t>
      </w:r>
      <w:r>
        <w:rPr>
          <w:rFonts w:hint="eastAsia" w:ascii="仿宋_GB2312" w:hAnsi="黑体" w:eastAsia="仿宋_GB2312" w:cs="黑体"/>
          <w:bCs/>
          <w:sz w:val="32"/>
          <w:szCs w:val="32"/>
        </w:rPr>
        <w:t>健全“实物+协议+产能+社会”四维物资储备保障机制。</w:t>
      </w:r>
      <w:bookmarkStart w:id="38" w:name="OLE_LINK6"/>
      <w:r>
        <w:rPr>
          <w:rFonts w:hint="eastAsia" w:ascii="仿宋_GB2312" w:hAnsi="黑体" w:eastAsia="仿宋_GB2312" w:cs="黑体"/>
          <w:bCs/>
          <w:sz w:val="32"/>
          <w:szCs w:val="32"/>
        </w:rPr>
        <w:t>动态发布家庭应急物资储备指导清单，引导市民科学开展应急物资储备。优化东、中、西区域消防救援中心布局，构建“区域救援基地+城市消防救援站+社区小型消防站”梯次救援基础设施网络。推进水上交通、轨道交通、地震、地质灾害、地下空间、高层建筑、</w:t>
      </w:r>
      <w:r>
        <w:rPr>
          <w:rFonts w:hint="eastAsia" w:ascii="仿宋_GB2312" w:hAnsi="仿宋_GB2312" w:eastAsia="仿宋_GB2312" w:cs="仿宋_GB2312"/>
          <w:sz w:val="32"/>
        </w:rPr>
        <w:t>森林消防、</w:t>
      </w:r>
      <w:r>
        <w:rPr>
          <w:rFonts w:hint="eastAsia" w:ascii="仿宋_GB2312" w:hAnsi="黑体" w:eastAsia="仿宋_GB2312" w:cs="黑体"/>
          <w:bCs/>
          <w:sz w:val="32"/>
          <w:szCs w:val="32"/>
        </w:rPr>
        <w:t>危险化学品等领域专业应急救援队伍和社会应急力量规范化建设。</w:t>
      </w:r>
      <w:bookmarkEnd w:id="38"/>
    </w:p>
    <w:p>
      <w:pPr>
        <w:widowControl/>
        <w:spacing w:line="560" w:lineRule="exact"/>
        <w:ind w:firstLine="642" w:firstLineChars="200"/>
        <w:outlineLvl w:val="2"/>
        <w:rPr>
          <w:rFonts w:hint="eastAsia" w:ascii="仿宋_GB2312" w:hAnsi="黑体" w:eastAsia="仿宋_GB2312" w:cs="黑体"/>
          <w:b/>
          <w:sz w:val="32"/>
          <w:szCs w:val="32"/>
        </w:rPr>
      </w:pPr>
      <w:bookmarkStart w:id="39" w:name="OLE_LINK14"/>
      <w:r>
        <w:rPr>
          <w:rFonts w:hint="eastAsia" w:ascii="仿宋_GB2312" w:hAnsi="黑体" w:eastAsia="仿宋_GB2312" w:cs="黑体"/>
          <w:b/>
          <w:sz w:val="32"/>
          <w:szCs w:val="32"/>
        </w:rPr>
        <w:t>13.强化预警响应。</w:t>
      </w:r>
      <w:r>
        <w:rPr>
          <w:rFonts w:hint="eastAsia" w:ascii="仿宋_GB2312" w:hAnsi="黑体" w:eastAsia="仿宋_GB2312" w:cs="黑体"/>
          <w:bCs/>
          <w:sz w:val="32"/>
          <w:szCs w:val="32"/>
        </w:rPr>
        <w:t>健全灾害事故研判预警与应急资源调度联动机制。依托“圳应急”“一键通”等信息化平台定向推送工作指令，实现灾害事故一键精准响应。构建数字智能预报业务体系，实现突发灾害性天气有效预警提前量达70分钟以上。优化突发事件预警信息发布机制，提升预警信息靶向发布能力和数智化水平。完善灾害事故舆情预判预警、快速响应和主动干预机制。夯实地震监测台网运行基础，持续完善地震监测预警体系。</w:t>
      </w:r>
    </w:p>
    <w:bookmarkEnd w:id="39"/>
    <w:p>
      <w:pPr>
        <w:widowControl/>
        <w:spacing w:line="560" w:lineRule="exact"/>
        <w:ind w:firstLine="642" w:firstLineChars="200"/>
        <w:outlineLvl w:val="2"/>
        <w:rPr>
          <w:rFonts w:hint="eastAsia" w:ascii="仿宋_GB2312" w:hAnsi="黑体" w:eastAsia="仿宋_GB2312" w:cs="黑体"/>
          <w:bCs/>
          <w:sz w:val="32"/>
          <w:szCs w:val="32"/>
        </w:rPr>
      </w:pPr>
      <w:r>
        <w:rPr>
          <w:rFonts w:hint="eastAsia" w:ascii="仿宋_GB2312" w:hAnsi="黑体" w:eastAsia="仿宋_GB2312" w:cs="黑体"/>
          <w:b/>
          <w:sz w:val="32"/>
          <w:szCs w:val="32"/>
        </w:rPr>
        <w:t>14.强化高效应战。</w:t>
      </w:r>
      <w:r>
        <w:rPr>
          <w:rFonts w:hint="eastAsia" w:ascii="仿宋_GB2312" w:hAnsi="黑体" w:eastAsia="仿宋_GB2312" w:cs="黑体"/>
          <w:bCs/>
          <w:sz w:val="32"/>
          <w:szCs w:val="32"/>
        </w:rPr>
        <w:t>建设扁平化、智能化、情指行一体化联合指挥平台。健全应急救援力量协调联动机制，推进专业应急救援队伍标准化建设。常态化开展跨部门、跨领域、跨灾种实战演练，强化协同作战能力。细化明确街道应急处置权责清单，</w:t>
      </w:r>
      <w:r>
        <w:rPr>
          <w:rFonts w:hint="eastAsia" w:ascii="仿宋_GB2312" w:hAnsi="黑体" w:eastAsia="仿宋_GB2312" w:cs="黑体"/>
          <w:b w:val="0"/>
          <w:bCs/>
          <w:sz w:val="32"/>
          <w:szCs w:val="32"/>
        </w:rPr>
        <w:t>健全地铁等城市公共服务运营主体突发状况下的自主处置机制</w:t>
      </w:r>
      <w:r>
        <w:rPr>
          <w:rFonts w:hint="eastAsia" w:ascii="仿宋_GB2312" w:hAnsi="黑体" w:eastAsia="仿宋_GB2312" w:cs="黑体"/>
          <w:bCs/>
          <w:sz w:val="32"/>
          <w:szCs w:val="32"/>
        </w:rPr>
        <w:t>。持续深化军地应急协作，健全军地联合指挥、力量调配、资源共享、协同处置机制。主动融入粤港澳大湾区应急协同发展格局，优化完善深港、深莞惠汕河中珠等周边城市应急救援联动合作机制。</w:t>
      </w:r>
    </w:p>
    <w:p>
      <w:pPr>
        <w:widowControl/>
        <w:spacing w:line="560" w:lineRule="exact"/>
        <w:ind w:firstLine="642" w:firstLineChars="200"/>
        <w:outlineLvl w:val="2"/>
        <w:rPr>
          <w:rFonts w:hint="eastAsia" w:ascii="仿宋_GB2312" w:hAnsi="黑体" w:eastAsia="仿宋_GB2312" w:cs="黑体"/>
          <w:bCs/>
          <w:sz w:val="32"/>
          <w:szCs w:val="32"/>
        </w:rPr>
      </w:pPr>
      <w:r>
        <w:rPr>
          <w:rFonts w:hint="eastAsia" w:ascii="仿宋_GB2312" w:hAnsi="黑体" w:eastAsia="仿宋_GB2312" w:cs="黑体"/>
          <w:b/>
          <w:sz w:val="32"/>
          <w:szCs w:val="32"/>
        </w:rPr>
        <w:t>15.强化改进恢复。</w:t>
      </w:r>
      <w:r>
        <w:rPr>
          <w:rFonts w:hint="eastAsia" w:ascii="仿宋_GB2312" w:hAnsi="黑体" w:eastAsia="仿宋_GB2312" w:cs="黑体"/>
          <w:bCs/>
          <w:sz w:val="32"/>
          <w:szCs w:val="32"/>
        </w:rPr>
        <w:t>健全覆盖预防准备、监测预警、处置救援、恢复重建全链条的灾害调查评估标准体系，统一各环节调查、研判、复盘、整改技术规范，依法依规开展灾害全过程复盘评估。</w:t>
      </w:r>
      <w:r>
        <w:rPr>
          <w:rFonts w:ascii="仿宋_GB2312" w:hAnsi="黑体" w:eastAsia="仿宋_GB2312" w:cs="黑体"/>
          <w:bCs/>
          <w:sz w:val="32"/>
          <w:szCs w:val="32"/>
        </w:rPr>
        <w:t>健全全域灾情动态</w:t>
      </w:r>
      <w:r>
        <w:rPr>
          <w:rFonts w:hint="eastAsia" w:ascii="仿宋_GB2312" w:hAnsi="黑体" w:eastAsia="仿宋_GB2312" w:cs="黑体"/>
          <w:bCs/>
          <w:sz w:val="32"/>
          <w:szCs w:val="32"/>
        </w:rPr>
        <w:t>排查</w:t>
      </w:r>
      <w:r>
        <w:rPr>
          <w:rFonts w:ascii="仿宋_GB2312" w:hAnsi="黑体" w:eastAsia="仿宋_GB2312" w:cs="黑体"/>
          <w:bCs/>
          <w:sz w:val="32"/>
          <w:szCs w:val="32"/>
        </w:rPr>
        <w:t>、</w:t>
      </w:r>
      <w:r>
        <w:rPr>
          <w:rFonts w:hint="eastAsia" w:ascii="仿宋_GB2312" w:hAnsi="黑体" w:eastAsia="仿宋_GB2312" w:cs="黑体"/>
          <w:bCs/>
          <w:sz w:val="32"/>
          <w:szCs w:val="32"/>
        </w:rPr>
        <w:t>统一</w:t>
      </w:r>
      <w:r>
        <w:rPr>
          <w:rFonts w:ascii="仿宋_GB2312" w:hAnsi="黑体" w:eastAsia="仿宋_GB2312" w:cs="黑体"/>
          <w:bCs/>
          <w:sz w:val="32"/>
          <w:szCs w:val="32"/>
        </w:rPr>
        <w:t>汇总、共享联动</w:t>
      </w:r>
      <w:r>
        <w:rPr>
          <w:rFonts w:hint="eastAsia" w:ascii="仿宋_GB2312" w:hAnsi="黑体" w:eastAsia="仿宋_GB2312" w:cs="黑体"/>
          <w:bCs/>
          <w:sz w:val="32"/>
          <w:szCs w:val="32"/>
        </w:rPr>
        <w:t>工作机制</w:t>
      </w:r>
      <w:r>
        <w:rPr>
          <w:rFonts w:ascii="仿宋_GB2312" w:hAnsi="黑体" w:eastAsia="仿宋_GB2312" w:cs="黑体"/>
          <w:bCs/>
          <w:sz w:val="32"/>
          <w:szCs w:val="32"/>
        </w:rPr>
        <w:t>，优化突发事件紧急救助体系，细化受灾群众基本生活保障</w:t>
      </w:r>
      <w:r>
        <w:rPr>
          <w:rFonts w:hint="eastAsia" w:ascii="仿宋_GB2312" w:hAnsi="黑体" w:eastAsia="仿宋_GB2312" w:cs="黑体"/>
          <w:bCs/>
          <w:sz w:val="32"/>
          <w:szCs w:val="32"/>
        </w:rPr>
        <w:t>举措</w:t>
      </w:r>
      <w:r>
        <w:rPr>
          <w:rFonts w:ascii="仿宋_GB2312" w:hAnsi="黑体" w:eastAsia="仿宋_GB2312" w:cs="黑体"/>
          <w:bCs/>
          <w:sz w:val="32"/>
          <w:szCs w:val="32"/>
        </w:rPr>
        <w:t>。坚</w:t>
      </w:r>
      <w:r>
        <w:rPr>
          <w:rFonts w:hint="eastAsia" w:ascii="仿宋_GB2312" w:hAnsi="黑体" w:eastAsia="仿宋_GB2312" w:cs="黑体"/>
          <w:bCs/>
          <w:sz w:val="32"/>
          <w:szCs w:val="32"/>
        </w:rPr>
        <w:t>守</w:t>
      </w:r>
      <w:r>
        <w:rPr>
          <w:rFonts w:ascii="仿宋_GB2312" w:hAnsi="黑体" w:eastAsia="仿宋_GB2312" w:cs="黑体"/>
          <w:sz w:val="32"/>
          <w:szCs w:val="32"/>
        </w:rPr>
        <w:t>保民生、保运转、保核心</w:t>
      </w:r>
      <w:r>
        <w:rPr>
          <w:rFonts w:hint="eastAsia" w:ascii="仿宋_GB2312" w:hAnsi="黑体" w:eastAsia="仿宋_GB2312" w:cs="黑体"/>
          <w:bCs/>
          <w:sz w:val="32"/>
          <w:szCs w:val="32"/>
        </w:rPr>
        <w:t>底线</w:t>
      </w:r>
      <w:r>
        <w:rPr>
          <w:rFonts w:ascii="仿宋_GB2312" w:hAnsi="黑体" w:eastAsia="仿宋_GB2312" w:cs="黑体"/>
          <w:bCs/>
          <w:sz w:val="32"/>
          <w:szCs w:val="32"/>
        </w:rPr>
        <w:t>，</w:t>
      </w:r>
      <w:r>
        <w:rPr>
          <w:rFonts w:hint="eastAsia" w:ascii="仿宋_GB2312" w:hAnsi="黑体" w:eastAsia="仿宋_GB2312" w:cs="黑体"/>
          <w:bCs/>
          <w:sz w:val="32"/>
          <w:szCs w:val="32"/>
        </w:rPr>
        <w:t>全力做好</w:t>
      </w:r>
      <w:r>
        <w:rPr>
          <w:rFonts w:ascii="仿宋_GB2312" w:hAnsi="黑体" w:eastAsia="仿宋_GB2312" w:cs="黑体"/>
          <w:bCs/>
          <w:sz w:val="32"/>
          <w:szCs w:val="32"/>
        </w:rPr>
        <w:t>水、电、油、气等能源</w:t>
      </w:r>
      <w:r>
        <w:rPr>
          <w:rFonts w:hint="eastAsia" w:ascii="仿宋_GB2312" w:hAnsi="黑体" w:eastAsia="仿宋_GB2312" w:cs="黑体"/>
          <w:bCs/>
          <w:sz w:val="32"/>
          <w:szCs w:val="32"/>
        </w:rPr>
        <w:t>物资保障。</w:t>
      </w:r>
    </w:p>
    <w:tbl>
      <w:tblPr>
        <w:tblStyle w:val="26"/>
        <w:tblW w:w="0" w:type="auto"/>
        <w:jc w:val="center"/>
        <w:tblLayout w:type="fixed"/>
        <w:tblCellMar>
          <w:top w:w="0" w:type="dxa"/>
          <w:left w:w="108" w:type="dxa"/>
          <w:bottom w:w="0" w:type="dxa"/>
          <w:right w:w="108" w:type="dxa"/>
        </w:tblCellMar>
      </w:tblPr>
      <w:tblGrid>
        <w:gridCol w:w="9061"/>
      </w:tblGrid>
      <w:tr>
        <w:tblPrEx>
          <w:tblCellMar>
            <w:top w:w="0" w:type="dxa"/>
            <w:left w:w="108" w:type="dxa"/>
            <w:bottom w:w="0" w:type="dxa"/>
            <w:right w:w="108" w:type="dxa"/>
          </w:tblCellMar>
        </w:tblPrEx>
        <w:trPr>
          <w:trHeight w:val="57" w:hRule="atLeast"/>
          <w:tblHeader/>
          <w:jc w:val="center"/>
        </w:trPr>
        <w:tc>
          <w:tcPr>
            <w:tcW w:w="9061" w:type="dxa"/>
            <w:tcBorders>
              <w:top w:val="single" w:color="000000" w:sz="4" w:space="0"/>
              <w:left w:val="single" w:color="000000" w:sz="4" w:space="0"/>
              <w:bottom w:val="single" w:color="000000" w:sz="4" w:space="0"/>
              <w:right w:val="single" w:color="000000" w:sz="4" w:space="0"/>
            </w:tcBorders>
            <w:tcMar>
              <w:top w:w="-1" w:type="dxa"/>
              <w:left w:w="-1" w:type="dxa"/>
              <w:bottom w:w="-1" w:type="dxa"/>
              <w:right w:w="-1" w:type="dxa"/>
            </w:tcMar>
            <w:vAlign w:val="center"/>
          </w:tcPr>
          <w:p>
            <w:pPr>
              <w:widowControl/>
              <w:jc w:val="center"/>
              <w:textAlignment w:val="center"/>
              <w:rPr>
                <w:rFonts w:hint="eastAsia" w:ascii="仿宋_GB2312" w:hAnsi="方正仿宋_GB18030" w:eastAsia="仿宋_GB2312" w:cs="方正仿宋_GB18030"/>
                <w:b/>
                <w:szCs w:val="21"/>
                <w:lang w:bidi="ar"/>
              </w:rPr>
            </w:pPr>
            <w:r>
              <w:rPr>
                <w:rFonts w:hint="eastAsia" w:ascii="仿宋_GB2312" w:hAnsi="方正仿宋_GB18030" w:eastAsia="仿宋_GB2312" w:cs="方正仿宋_GB18030"/>
                <w:b/>
                <w:szCs w:val="21"/>
                <w:lang w:bidi="ar"/>
              </w:rPr>
              <w:t>专栏3 综合救援能力建设工程</w:t>
            </w:r>
          </w:p>
        </w:tc>
      </w:tr>
      <w:tr>
        <w:tblPrEx>
          <w:tblCellMar>
            <w:top w:w="0" w:type="dxa"/>
            <w:left w:w="108" w:type="dxa"/>
            <w:bottom w:w="0" w:type="dxa"/>
            <w:right w:w="108" w:type="dxa"/>
          </w:tblCellMar>
        </w:tblPrEx>
        <w:trPr>
          <w:trHeight w:val="1355" w:hRule="atLeast"/>
          <w:tblHeader/>
          <w:jc w:val="center"/>
        </w:trPr>
        <w:tc>
          <w:tcPr>
            <w:tcW w:w="9061" w:type="dxa"/>
            <w:tcBorders>
              <w:top w:val="single" w:color="000000" w:sz="4" w:space="0"/>
              <w:left w:val="single" w:color="000000" w:sz="4" w:space="0"/>
              <w:bottom w:val="single" w:color="000000" w:sz="4" w:space="0"/>
              <w:right w:val="single" w:color="000000" w:sz="4" w:space="0"/>
            </w:tcBorders>
            <w:tcMar>
              <w:top w:w="-1" w:type="dxa"/>
              <w:left w:w="-1" w:type="dxa"/>
              <w:bottom w:w="-1" w:type="dxa"/>
              <w:right w:w="-1" w:type="dxa"/>
            </w:tcMar>
          </w:tcPr>
          <w:p>
            <w:pPr>
              <w:widowControl/>
              <w:spacing w:line="320" w:lineRule="exact"/>
              <w:rPr>
                <w:rFonts w:hint="eastAsia" w:ascii="仿宋_GB2312" w:hAnsi="方正仿宋_GB18030" w:eastAsia="仿宋_GB2312" w:cs="方正仿宋_GB18030"/>
                <w:b/>
                <w:bCs/>
                <w:szCs w:val="21"/>
              </w:rPr>
            </w:pPr>
            <w:r>
              <w:rPr>
                <w:rFonts w:hint="eastAsia" w:ascii="仿宋_GB2312" w:hAnsi="方正仿宋_GB18030" w:eastAsia="仿宋_GB2312" w:cs="方正仿宋_GB18030"/>
                <w:b/>
                <w:bCs/>
                <w:szCs w:val="21"/>
                <w:lang w:val="en-US" w:eastAsia="zh-CN"/>
              </w:rPr>
              <w:t>10</w:t>
            </w:r>
            <w:r>
              <w:rPr>
                <w:rFonts w:hint="eastAsia" w:ascii="仿宋_GB2312" w:hAnsi="方正仿宋_GB18030" w:eastAsia="仿宋_GB2312" w:cs="方正仿宋_GB18030"/>
                <w:b/>
                <w:bCs/>
                <w:szCs w:val="21"/>
              </w:rPr>
              <w:t>.危险化学品应急救援能力提升。</w:t>
            </w:r>
            <w:r>
              <w:rPr>
                <w:rFonts w:hint="eastAsia" w:ascii="仿宋_GB2312" w:hAnsi="方正仿宋_GB18030" w:eastAsia="仿宋_GB2312" w:cs="方正仿宋_GB18030"/>
                <w:szCs w:val="21"/>
              </w:rPr>
              <w:t>组建深圳市危险化学品应急救援专业队伍，打造一支政府直属的危化品事故应急处置核心力量。为</w:t>
            </w:r>
            <w:r>
              <w:rPr>
                <w:rFonts w:ascii="仿宋_GB2312" w:hAnsi="方正仿宋_GB18030" w:eastAsia="仿宋_GB2312" w:cs="方正仿宋_GB18030"/>
                <w:szCs w:val="21"/>
              </w:rPr>
              <w:t>深汕高端电子化学品产业园</w:t>
            </w:r>
            <w:r>
              <w:rPr>
                <w:rFonts w:hint="eastAsia" w:ascii="仿宋_GB2312" w:hAnsi="方正仿宋_GB18030" w:eastAsia="仿宋_GB2312" w:cs="方正仿宋_GB18030"/>
                <w:szCs w:val="21"/>
              </w:rPr>
              <w:t>危险化学品应急救援队伍配备专业化应急救援装备，补强侦检探测、工艺处置、污染防控等关键能力。通过“市级建队+园区补强”双轮驱动，构建覆盖全市、辐射粤东的危险化学品应急救援体系。</w:t>
            </w:r>
          </w:p>
          <w:p>
            <w:pPr>
              <w:widowControl/>
              <w:spacing w:line="320" w:lineRule="exact"/>
              <w:rPr>
                <w:rFonts w:hint="eastAsia" w:ascii="仿宋_GB2312" w:hAnsi="方正仿宋_GB18030" w:eastAsia="仿宋_GB2312" w:cs="方正仿宋_GB18030"/>
                <w:szCs w:val="21"/>
              </w:rPr>
            </w:pPr>
            <w:r>
              <w:rPr>
                <w:rFonts w:hint="eastAsia" w:ascii="仿宋_GB2312" w:hAnsi="方正仿宋_GB18030" w:eastAsia="仿宋_GB2312" w:cs="方正仿宋_GB18030"/>
                <w:b/>
                <w:bCs/>
                <w:szCs w:val="21"/>
              </w:rPr>
              <w:t>1</w:t>
            </w:r>
            <w:r>
              <w:rPr>
                <w:rFonts w:hint="eastAsia" w:ascii="仿宋_GB2312" w:hAnsi="方正仿宋_GB18030" w:eastAsia="仿宋_GB2312" w:cs="方正仿宋_GB18030"/>
                <w:b/>
                <w:bCs/>
                <w:szCs w:val="21"/>
                <w:lang w:val="en-US" w:eastAsia="zh-CN"/>
              </w:rPr>
              <w:t>1</w:t>
            </w:r>
            <w:r>
              <w:rPr>
                <w:rFonts w:hint="eastAsia" w:ascii="仿宋_GB2312" w:hAnsi="方正仿宋_GB18030" w:eastAsia="仿宋_GB2312" w:cs="方正仿宋_GB18030"/>
                <w:b/>
                <w:bCs/>
                <w:szCs w:val="21"/>
              </w:rPr>
              <w:t>.深圳市应急救援装备测试及成果转化平台。</w:t>
            </w:r>
            <w:r>
              <w:rPr>
                <w:rFonts w:hint="eastAsia" w:ascii="仿宋_GB2312" w:hAnsi="方正仿宋_GB18030" w:eastAsia="仿宋_GB2312" w:cs="方正仿宋_GB18030"/>
                <w:szCs w:val="21"/>
              </w:rPr>
              <w:t>建设集产品测试、战法训练、展示推广、成果转化于一体的综合性平台：开展智能装备功能验证与效能评估；组织无人化协同作战新战法演练；设立智能应急装备展厅，举办技术交流、产品发布及装备挑战赛等活动；开展技术攻关与专利培育，实现“研发—测试—训练—推广—应用”全链条贯通。</w:t>
            </w:r>
          </w:p>
          <w:p>
            <w:pPr>
              <w:widowControl/>
              <w:spacing w:line="320" w:lineRule="exact"/>
              <w:rPr>
                <w:rFonts w:hint="eastAsia" w:ascii="楷体_GB2312" w:hAnsi="方正仿宋_GB18030" w:eastAsia="楷体_GB2312" w:cs="方正仿宋_GB18030"/>
                <w:szCs w:val="21"/>
              </w:rPr>
            </w:pPr>
            <w:r>
              <w:rPr>
                <w:rFonts w:hint="eastAsia" w:ascii="仿宋_GB2312" w:hAnsi="方正仿宋_GB18030" w:eastAsia="仿宋_GB2312" w:cs="方正仿宋_GB18030"/>
                <w:b/>
                <w:bCs/>
                <w:szCs w:val="21"/>
              </w:rPr>
              <w:t>1</w:t>
            </w:r>
            <w:r>
              <w:rPr>
                <w:rFonts w:hint="eastAsia" w:ascii="仿宋_GB2312" w:hAnsi="方正仿宋_GB18030" w:eastAsia="仿宋_GB2312" w:cs="方正仿宋_GB18030"/>
                <w:b/>
                <w:bCs/>
                <w:szCs w:val="21"/>
                <w:lang w:val="en-US" w:eastAsia="zh-CN"/>
              </w:rPr>
              <w:t>2</w:t>
            </w:r>
            <w:r>
              <w:rPr>
                <w:rFonts w:hint="eastAsia" w:ascii="仿宋_GB2312" w:hAnsi="方正仿宋_GB18030" w:eastAsia="仿宋_GB2312" w:cs="方正仿宋_GB18030"/>
                <w:b/>
                <w:bCs/>
                <w:szCs w:val="21"/>
              </w:rPr>
              <w:t>.联合指挥调度系统。</w:t>
            </w:r>
            <w:r>
              <w:rPr>
                <w:rFonts w:hint="eastAsia" w:ascii="仿宋_GB2312" w:hAnsi="方正仿宋_GB18030" w:eastAsia="仿宋_GB2312" w:cs="方正仿宋_GB18030"/>
                <w:b w:val="0"/>
                <w:bCs w:val="0"/>
                <w:szCs w:val="21"/>
                <w:lang w:val="en-US" w:eastAsia="zh-CN"/>
              </w:rPr>
              <w:t>构建全域联动的现代化智能化应急指挥调度体系，打造适应大安全大应急框架的“市、区、街、社、站”五级联动的智能化联合指挥调度平台；</w:t>
            </w:r>
            <w:r>
              <w:rPr>
                <w:rFonts w:hint="eastAsia" w:ascii="仿宋_GB2312" w:hAnsi="方正仿宋_GB18030" w:eastAsia="仿宋_GB2312" w:cs="方正仿宋_GB18030"/>
                <w:szCs w:val="21"/>
              </w:rPr>
              <w:t>构建全要素战备状态动态评估模型，建设预案-队伍-资源智能匹配引擎，实现应急资源高效统筹与战备状态实时感知；建设多源异构数据融合感知中台，构建风险智能识别与超前预警模型，实现风险隐患早发现、早预警、早处置；搭建多智能体协同决策中枢，建设全流程自动化指挥调度链路，大幅提升指挥决策效率与科学性；制定应急装备标准化接入规范，建设无人机、机器人统一协同控制平台，赋能复杂场景无人化处置；构建处置经验自动沉淀与转化模型，打造智慧应急指挥体系。</w:t>
            </w:r>
          </w:p>
          <w:p>
            <w:pPr>
              <w:widowControl/>
              <w:spacing w:line="320" w:lineRule="exact"/>
              <w:rPr>
                <w:rFonts w:hint="eastAsia" w:ascii="仿宋_GB2312" w:hAnsi="方正仿宋_GB18030" w:eastAsia="仿宋_GB2312" w:cs="方正仿宋_GB18030"/>
                <w:szCs w:val="21"/>
              </w:rPr>
            </w:pPr>
            <w:r>
              <w:rPr>
                <w:rFonts w:hint="eastAsia" w:ascii="仿宋_GB2312" w:hAnsi="方正仿宋_GB18030" w:eastAsia="仿宋_GB2312" w:cs="方正仿宋_GB18030"/>
                <w:b/>
                <w:bCs/>
                <w:szCs w:val="21"/>
              </w:rPr>
              <w:t>1</w:t>
            </w:r>
            <w:r>
              <w:rPr>
                <w:rFonts w:hint="eastAsia" w:ascii="仿宋_GB2312" w:hAnsi="方正仿宋_GB18030" w:eastAsia="仿宋_GB2312" w:cs="方正仿宋_GB18030"/>
                <w:b/>
                <w:bCs/>
                <w:szCs w:val="21"/>
                <w:lang w:val="en-US" w:eastAsia="zh-CN"/>
              </w:rPr>
              <w:t>3</w:t>
            </w:r>
            <w:r>
              <w:rPr>
                <w:rFonts w:hint="eastAsia" w:ascii="仿宋_GB2312" w:hAnsi="方正仿宋_GB18030" w:eastAsia="仿宋_GB2312" w:cs="方正仿宋_GB18030"/>
                <w:b/>
                <w:bCs/>
                <w:szCs w:val="21"/>
              </w:rPr>
              <w:t>.水上应急救援能力提升。</w:t>
            </w:r>
            <w:r>
              <w:rPr>
                <w:rFonts w:hint="eastAsia" w:ascii="仿宋_GB2312" w:hAnsi="方正仿宋_GB18030" w:eastAsia="仿宋_GB2312" w:cs="方正仿宋_GB18030"/>
                <w:szCs w:val="21"/>
              </w:rPr>
              <w:t>建设东部海域大鹏应急救援基地；配备深圳西部水域海上搜救应急指挥船并按照“子母船”方式配置无人机船；建设深圳LNG海上安全管理和应急基地，构建LNG海上安全监测中心，设置专项应急设备库；建设西部港区溢油应急设备库；建设完善深圳海上应急救助点；建设深圳海上搜救应急数字联指平台。</w:t>
            </w:r>
          </w:p>
          <w:p>
            <w:pPr>
              <w:widowControl/>
              <w:spacing w:line="320" w:lineRule="exact"/>
              <w:rPr>
                <w:rFonts w:hint="eastAsia" w:ascii="仿宋_GB2312" w:hAnsi="方正仿宋_GB18030" w:eastAsia="仿宋_GB2312" w:cs="方正仿宋_GB18030"/>
                <w:szCs w:val="21"/>
              </w:rPr>
            </w:pPr>
            <w:r>
              <w:rPr>
                <w:rFonts w:hint="eastAsia" w:ascii="仿宋_GB2312" w:hAnsi="方正仿宋_GB18030" w:eastAsia="仿宋_GB2312" w:cs="方正仿宋_GB18030"/>
                <w:b/>
                <w:bCs/>
                <w:szCs w:val="21"/>
              </w:rPr>
              <w:t>1</w:t>
            </w:r>
            <w:r>
              <w:rPr>
                <w:rFonts w:hint="eastAsia" w:ascii="仿宋_GB2312" w:hAnsi="方正仿宋_GB18030" w:eastAsia="仿宋_GB2312" w:cs="方正仿宋_GB18030"/>
                <w:b/>
                <w:bCs/>
                <w:szCs w:val="21"/>
                <w:lang w:val="en-US" w:eastAsia="zh-CN"/>
              </w:rPr>
              <w:t>4</w:t>
            </w:r>
            <w:r>
              <w:rPr>
                <w:rFonts w:hint="eastAsia" w:ascii="仿宋_GB2312" w:hAnsi="方正仿宋_GB18030" w:eastAsia="仿宋_GB2312" w:cs="方正仿宋_GB18030"/>
                <w:b/>
                <w:bCs/>
                <w:szCs w:val="21"/>
              </w:rPr>
              <w:t>.消防综合救援基础设施建设工程。</w:t>
            </w:r>
            <w:r>
              <w:rPr>
                <w:rFonts w:hint="eastAsia" w:ascii="仿宋_GB2312" w:hAnsi="方正仿宋_GB18030" w:eastAsia="仿宋_GB2312" w:cs="方正仿宋_GB18030"/>
                <w:szCs w:val="21"/>
              </w:rPr>
              <w:t>建设消防训练基地并购置相应训练设备；建设消防支队战勤保障中心；推进红荔路燕南路口消防救援支队营区营房独立使用整体改造提升工程。建设东、中、西区域消防救援中心，打造集“训练、作战、研究、储备、支援”五大功能于一体的核心枢纽。</w:t>
            </w:r>
          </w:p>
          <w:p>
            <w:pPr>
              <w:widowControl/>
              <w:spacing w:line="320" w:lineRule="atLeast"/>
              <w:rPr>
                <w:rFonts w:hint="eastAsia" w:ascii="仿宋_GB2312" w:hAnsi="方正仿宋_GB18030" w:eastAsia="仿宋_GB2312" w:cs="方正仿宋_GB18030"/>
                <w:szCs w:val="21"/>
              </w:rPr>
            </w:pPr>
            <w:r>
              <w:rPr>
                <w:rFonts w:hint="eastAsia" w:ascii="仿宋_GB2312" w:hAnsi="方正仿宋_GB18030" w:eastAsia="仿宋_GB2312" w:cs="方正仿宋_GB18030"/>
                <w:b/>
                <w:bCs/>
                <w:color w:val="000000" w:themeColor="text1"/>
                <w:szCs w:val="21"/>
                <w14:textFill>
                  <w14:solidFill>
                    <w14:schemeClr w14:val="tx1"/>
                  </w14:solidFill>
                </w14:textFill>
              </w:rPr>
              <w:t>1</w:t>
            </w:r>
            <w:r>
              <w:rPr>
                <w:rFonts w:hint="eastAsia" w:ascii="仿宋_GB2312" w:hAnsi="方正仿宋_GB18030" w:eastAsia="仿宋_GB2312" w:cs="方正仿宋_GB18030"/>
                <w:b/>
                <w:bCs/>
                <w:color w:val="000000" w:themeColor="text1"/>
                <w:szCs w:val="21"/>
                <w:lang w:val="en-US" w:eastAsia="zh-CN"/>
                <w14:textFill>
                  <w14:solidFill>
                    <w14:schemeClr w14:val="tx1"/>
                  </w14:solidFill>
                </w14:textFill>
              </w:rPr>
              <w:t>5</w:t>
            </w:r>
            <w:r>
              <w:rPr>
                <w:rFonts w:hint="eastAsia" w:ascii="仿宋_GB2312" w:hAnsi="方正仿宋_GB18030" w:eastAsia="仿宋_GB2312" w:cs="方正仿宋_GB18030"/>
                <w:b/>
                <w:bCs/>
                <w:color w:val="000000" w:themeColor="text1"/>
                <w:szCs w:val="21"/>
                <w14:textFill>
                  <w14:solidFill>
                    <w14:schemeClr w14:val="tx1"/>
                  </w14:solidFill>
                </w14:textFill>
              </w:rPr>
              <w:t>.巨灾情景构建及应对能力提升。</w:t>
            </w:r>
            <w:r>
              <w:rPr>
                <w:rFonts w:hint="eastAsia" w:ascii="仿宋_GB2312" w:hAnsi="方正仿宋_GB18030" w:eastAsia="仿宋_GB2312" w:cs="方正仿宋_GB18030"/>
                <w:color w:val="000000" w:themeColor="text1"/>
                <w:szCs w:val="21"/>
                <w14:textFill>
                  <w14:solidFill>
                    <w14:schemeClr w14:val="tx1"/>
                  </w14:solidFill>
                </w14:textFill>
              </w:rPr>
              <w:t>构建超强台风、极端洪涝、大面积停电等灾害链式耦合风险场景模型，分析判断我市巨灾场景下的灾害影响、传播链路、潜在影响人员及经济损失分布。实施应急物资与救援力量布局优化工程，在城市重点片区、交通枢纽预置前置物资和救援站。构建数字化巨灾应急预案体系，开展全流程实战化压力测试与演练。</w:t>
            </w:r>
          </w:p>
        </w:tc>
      </w:tr>
      <w:bookmarkEnd w:id="37"/>
    </w:tbl>
    <w:p>
      <w:pPr>
        <w:widowControl/>
        <w:spacing w:line="560" w:lineRule="exact"/>
        <w:ind w:firstLine="640" w:firstLineChars="200"/>
        <w:outlineLvl w:val="1"/>
        <w:rPr>
          <w:rFonts w:hint="eastAsia" w:ascii="楷体_GB2312" w:hAnsi="黑体" w:eastAsia="楷体_GB2312" w:cs="黑体"/>
          <w:sz w:val="32"/>
          <w:szCs w:val="32"/>
        </w:rPr>
      </w:pPr>
      <w:bookmarkStart w:id="40" w:name="_Toc671"/>
      <w:bookmarkStart w:id="41" w:name="_Toc1044281300"/>
      <w:bookmarkStart w:id="42" w:name="_Toc201015089"/>
      <w:r>
        <w:rPr>
          <w:rFonts w:hint="eastAsia" w:ascii="楷体_GB2312" w:hAnsi="黑体" w:eastAsia="楷体_GB2312" w:cs="黑体"/>
          <w:sz w:val="32"/>
          <w:szCs w:val="32"/>
        </w:rPr>
        <w:t>（四）完善基层组织体系，提升基础保障能力</w:t>
      </w:r>
      <w:bookmarkEnd w:id="40"/>
      <w:bookmarkEnd w:id="41"/>
      <w:bookmarkEnd w:id="42"/>
    </w:p>
    <w:p>
      <w:pPr>
        <w:widowControl/>
        <w:spacing w:line="560" w:lineRule="exact"/>
        <w:ind w:firstLine="642" w:firstLineChars="200"/>
        <w:outlineLvl w:val="2"/>
        <w:rPr>
          <w:rFonts w:ascii="仿宋_GB2312" w:hAnsi="Calibri" w:eastAsia="仿宋_GB2312"/>
          <w:sz w:val="32"/>
          <w:szCs w:val="32"/>
        </w:rPr>
      </w:pPr>
      <w:r>
        <w:rPr>
          <w:rFonts w:hint="eastAsia" w:ascii="仿宋_GB2312" w:hAnsi="黑体" w:eastAsia="仿宋_GB2312" w:cs="黑体"/>
          <w:b/>
          <w:sz w:val="32"/>
          <w:szCs w:val="32"/>
        </w:rPr>
        <w:t>16.提升基层应急能力。</w:t>
      </w:r>
      <w:r>
        <w:rPr>
          <w:rFonts w:hint="eastAsia" w:ascii="仿宋_GB2312" w:hAnsi="仿宋_GB2312" w:eastAsia="仿宋_GB2312" w:cs="仿宋_GB2312"/>
          <w:sz w:val="32"/>
          <w:szCs w:val="32"/>
        </w:rPr>
        <w:t>聚焦基层应急管理痛点难点，实行“一街一策”差异化提升工作，实现街道、社区应急能力均衡发展。完善专家下沉帮扶工作机制，针对性补强基层预案管理、队伍建设、物资保障等能力，稳步提升基层应急处置实战化水平，进一步夯实应急管理基层基础。将基层党政负责人纳入应急</w:t>
      </w:r>
      <w:r>
        <w:rPr>
          <w:rFonts w:hint="eastAsia" w:ascii="仿宋_GB2312" w:hAnsi="仿宋_GB2312" w:eastAsia="仿宋_GB2312" w:cs="仿宋_GB2312"/>
          <w:sz w:val="32"/>
          <w:szCs w:val="32"/>
          <w:lang w:val="en"/>
        </w:rPr>
        <w:t>管理干部</w:t>
      </w:r>
      <w:r>
        <w:rPr>
          <w:rFonts w:hint="eastAsia" w:ascii="仿宋_GB2312" w:hAnsi="仿宋_GB2312" w:eastAsia="仿宋_GB2312" w:cs="仿宋_GB2312"/>
          <w:sz w:val="32"/>
          <w:szCs w:val="32"/>
        </w:rPr>
        <w:t>实战大练兵范围，统筹提升基层干部队伍应急能力。</w:t>
      </w:r>
    </w:p>
    <w:p>
      <w:pPr>
        <w:widowControl/>
        <w:spacing w:line="560" w:lineRule="exact"/>
        <w:ind w:firstLine="642" w:firstLineChars="200"/>
        <w:outlineLvl w:val="2"/>
        <w:rPr>
          <w:rFonts w:ascii="仿宋_GB2312" w:hAnsi="Calibri" w:eastAsia="仿宋_GB2312"/>
          <w:sz w:val="32"/>
          <w:szCs w:val="32"/>
        </w:rPr>
      </w:pPr>
      <w:r>
        <w:rPr>
          <w:rFonts w:hint="eastAsia" w:ascii="仿宋_GB2312" w:hAnsi="黑体" w:eastAsia="仿宋_GB2312" w:cs="黑体"/>
          <w:b/>
          <w:sz w:val="32"/>
          <w:szCs w:val="32"/>
        </w:rPr>
        <w:t>17.优化基层治理模式</w:t>
      </w:r>
      <w:r>
        <w:rPr>
          <w:rFonts w:hint="eastAsia" w:ascii="仿宋_GB2312" w:hAnsi="Calibri" w:eastAsia="仿宋_GB2312"/>
          <w:sz w:val="32"/>
          <w:szCs w:val="32"/>
        </w:rPr>
        <w:t>。</w:t>
      </w:r>
      <w:r>
        <w:rPr>
          <w:rFonts w:hint="eastAsia" w:ascii="仿宋_GB2312" w:hAnsi="Calibri" w:eastAsia="仿宋_GB2312"/>
          <w:b w:val="0"/>
          <w:bCs w:val="0"/>
          <w:sz w:val="32"/>
          <w:szCs w:val="32"/>
        </w:rPr>
        <w:t>整合街道安全生产、消防安全网格巡查和防灾减灾救灾等网格职能，推行应消合一、队站一体的基层治理模式。</w:t>
      </w:r>
      <w:r>
        <w:rPr>
          <w:rFonts w:hint="eastAsia" w:ascii="仿宋_GB2312" w:hAnsi="Calibri" w:eastAsia="仿宋_GB2312"/>
          <w:sz w:val="32"/>
          <w:szCs w:val="32"/>
        </w:rPr>
        <w:t>健全“街道吹哨、部门报到”联动机制，健全网格巡查与监管执法衔接机制，实现隐患排查整治、执法全闭环管理。</w:t>
      </w:r>
    </w:p>
    <w:p>
      <w:pPr>
        <w:widowControl/>
        <w:spacing w:line="560" w:lineRule="exact"/>
        <w:ind w:firstLine="642" w:firstLineChars="200"/>
        <w:outlineLvl w:val="2"/>
        <w:rPr>
          <w:rFonts w:ascii="仿宋_GB2312" w:hAnsi="Calibri" w:eastAsia="仿宋_GB2312" w:cs="Calibri"/>
          <w:sz w:val="32"/>
          <w:szCs w:val="32"/>
        </w:rPr>
      </w:pPr>
      <w:r>
        <w:rPr>
          <w:rFonts w:hint="eastAsia" w:ascii="仿宋_GB2312" w:hAnsi="黑体" w:eastAsia="仿宋_GB2312" w:cs="黑体"/>
          <w:b/>
          <w:sz w:val="32"/>
          <w:szCs w:val="32"/>
        </w:rPr>
        <w:t>18.提升基层动员能力。</w:t>
      </w:r>
      <w:bookmarkStart w:id="43" w:name="_Toc346030787"/>
      <w:bookmarkStart w:id="44" w:name="OLE_LINK15"/>
      <w:r>
        <w:rPr>
          <w:rFonts w:hint="eastAsia" w:ascii="仿宋_GB2312" w:hAnsi="Calibri" w:eastAsia="仿宋_GB2312" w:cs="Calibri"/>
          <w:sz w:val="32"/>
          <w:szCs w:val="32"/>
        </w:rPr>
        <w:t>分类推进基层应急管理服务站规范化建设，推动实现队伍、装备、救援、宣教“四个前置”。</w:t>
      </w:r>
      <w:r>
        <w:rPr>
          <w:rFonts w:hint="eastAsia" w:ascii="仿宋_GB2312" w:hAnsi="Calibri" w:eastAsia="仿宋_GB2312" w:cs="Calibri"/>
          <w:b w:val="0"/>
          <w:bCs w:val="0"/>
          <w:sz w:val="32"/>
          <w:szCs w:val="32"/>
        </w:rPr>
        <w:t>建强用好“应急第一响应人”“安全生产明白人”和灾害信息员等基层骨干</w:t>
      </w:r>
      <w:r>
        <w:rPr>
          <w:rFonts w:hint="eastAsia" w:ascii="仿宋_GB2312" w:hAnsi="Calibri" w:eastAsia="仿宋_GB2312" w:cs="Calibri"/>
          <w:b w:val="0"/>
          <w:bCs w:val="0"/>
          <w:color w:val="000000" w:themeColor="text1"/>
          <w:sz w:val="32"/>
          <w:szCs w:val="32"/>
          <w14:textFill>
            <w14:solidFill>
              <w14:schemeClr w14:val="tx1"/>
            </w14:solidFill>
          </w14:textFill>
        </w:rPr>
        <w:t>队伍，办好“安全夜校”</w:t>
      </w:r>
      <w:r>
        <w:rPr>
          <w:rFonts w:hint="eastAsia" w:ascii="仿宋_GB2312" w:hAnsi="Calibri" w:eastAsia="仿宋_GB2312" w:cs="Calibri"/>
          <w:b w:val="0"/>
          <w:bCs w:val="0"/>
          <w:sz w:val="32"/>
          <w:szCs w:val="32"/>
        </w:rPr>
        <w:t>，健全培训认证、动态考核、激励保障全链条管理制度。</w:t>
      </w:r>
      <w:r>
        <w:rPr>
          <w:rFonts w:ascii="仿宋_GB2312" w:hAnsi="Calibri" w:eastAsia="仿宋_GB2312"/>
          <w:sz w:val="32"/>
          <w:szCs w:val="32"/>
        </w:rPr>
        <w:t>充分发挥基层党组织战斗堡垒和党员先锋模范作用，</w:t>
      </w:r>
      <w:r>
        <w:rPr>
          <w:rFonts w:hint="eastAsia" w:ascii="仿宋_GB2312" w:hAnsi="Calibri" w:eastAsia="仿宋_GB2312"/>
          <w:sz w:val="32"/>
          <w:szCs w:val="32"/>
        </w:rPr>
        <w:t>建立民兵、预备役人员等各类基层力量</w:t>
      </w:r>
      <w:r>
        <w:rPr>
          <w:rFonts w:ascii="仿宋_GB2312" w:hAnsi="Calibri" w:eastAsia="仿宋_GB2312"/>
          <w:sz w:val="32"/>
          <w:szCs w:val="32"/>
        </w:rPr>
        <w:t>平时常态值守、组团服务，</w:t>
      </w:r>
      <w:r>
        <w:rPr>
          <w:rFonts w:hint="eastAsia" w:ascii="仿宋_GB2312" w:hAnsi="Calibri" w:eastAsia="仿宋_GB2312"/>
          <w:sz w:val="32"/>
          <w:szCs w:val="32"/>
        </w:rPr>
        <w:t>急</w:t>
      </w:r>
      <w:r>
        <w:rPr>
          <w:rFonts w:ascii="仿宋_GB2312" w:hAnsi="Calibri" w:eastAsia="仿宋_GB2312"/>
          <w:sz w:val="32"/>
          <w:szCs w:val="32"/>
        </w:rPr>
        <w:t>时</w:t>
      </w:r>
      <w:r>
        <w:rPr>
          <w:rFonts w:hint="eastAsia" w:ascii="仿宋_GB2312" w:hAnsi="Calibri" w:eastAsia="仿宋_GB2312"/>
          <w:sz w:val="32"/>
          <w:szCs w:val="32"/>
        </w:rPr>
        <w:t>就地入列机制。</w:t>
      </w:r>
    </w:p>
    <w:p>
      <w:pPr>
        <w:widowControl/>
        <w:spacing w:line="560" w:lineRule="exact"/>
        <w:ind w:firstLine="640" w:firstLineChars="200"/>
        <w:outlineLvl w:val="1"/>
        <w:rPr>
          <w:rFonts w:hint="eastAsia" w:ascii="楷体_GB2312" w:hAnsi="黑体" w:eastAsia="楷体_GB2312" w:cs="黑体"/>
          <w:sz w:val="32"/>
          <w:szCs w:val="32"/>
        </w:rPr>
      </w:pPr>
      <w:bookmarkStart w:id="45" w:name="_Toc1896238330"/>
      <w:bookmarkStart w:id="46" w:name="_Toc29315"/>
      <w:r>
        <w:rPr>
          <w:rFonts w:hint="eastAsia" w:ascii="楷体_GB2312" w:hAnsi="黑体" w:eastAsia="楷体_GB2312" w:cs="黑体"/>
          <w:sz w:val="32"/>
          <w:szCs w:val="32"/>
        </w:rPr>
        <w:t>（五）完善科技赋能体系，提升智慧治理能力</w:t>
      </w:r>
      <w:bookmarkEnd w:id="43"/>
      <w:bookmarkEnd w:id="45"/>
      <w:bookmarkEnd w:id="46"/>
    </w:p>
    <w:p>
      <w:pPr>
        <w:widowControl/>
        <w:spacing w:line="560" w:lineRule="exact"/>
        <w:ind w:firstLine="642" w:firstLineChars="200"/>
        <w:outlineLvl w:val="2"/>
        <w:rPr>
          <w:rFonts w:hint="eastAsia" w:ascii="仿宋_GB2312" w:hAnsi="楷体" w:eastAsia="仿宋_GB2312" w:cs="楷体"/>
          <w:bCs/>
          <w:sz w:val="32"/>
          <w:szCs w:val="32"/>
          <w:lang w:bidi="ar"/>
        </w:rPr>
      </w:pPr>
      <w:r>
        <w:rPr>
          <w:rFonts w:hint="eastAsia" w:ascii="仿宋_GB2312" w:hAnsi="黑体" w:eastAsia="仿宋_GB2312" w:cs="黑体"/>
          <w:b/>
          <w:sz w:val="32"/>
          <w:szCs w:val="32"/>
        </w:rPr>
        <w:t>19.构建城市安全智能监测预警体系</w:t>
      </w:r>
      <w:r>
        <w:rPr>
          <w:rFonts w:hint="eastAsia" w:ascii="仿宋_GB2312" w:hAnsi="Calibri" w:eastAsia="仿宋_GB2312" w:cs="Calibri"/>
          <w:sz w:val="32"/>
          <w:szCs w:val="32"/>
        </w:rPr>
        <w:t>。</w:t>
      </w:r>
      <w:r>
        <w:rPr>
          <w:rFonts w:hint="eastAsia" w:ascii="仿宋_GB2312" w:hAnsi="楷体" w:eastAsia="仿宋_GB2312" w:cs="楷体"/>
          <w:bCs/>
          <w:sz w:val="32"/>
          <w:szCs w:val="32"/>
          <w:lang w:bidi="ar"/>
        </w:rPr>
        <w:t>推进超高层建筑、地下工程、重大危险源、粉尘涉爆、海洋灾害、地质灾害、极端天气等领域监测预警网络布局，开展城市安全“天-空-地”一体化协同监测预警技术试点应用。依托城市安全风险综合监测预警平台，推动“地下管网一张图”在城市安全应急和防灾减灾救灾领域深度应用，全面提升风险智能感知、综合研判和预警处置能力。</w:t>
      </w:r>
    </w:p>
    <w:p>
      <w:pPr>
        <w:widowControl/>
        <w:spacing w:line="560" w:lineRule="exact"/>
        <w:ind w:firstLine="642" w:firstLineChars="200"/>
        <w:outlineLvl w:val="2"/>
        <w:rPr>
          <w:rFonts w:hint="eastAsia" w:ascii="仿宋_GB2312" w:hAnsi="楷体" w:eastAsia="仿宋_GB2312" w:cs="楷体"/>
          <w:bCs/>
          <w:sz w:val="32"/>
          <w:szCs w:val="32"/>
          <w:lang w:bidi="ar"/>
        </w:rPr>
      </w:pPr>
      <w:r>
        <w:rPr>
          <w:rFonts w:hint="eastAsia" w:ascii="仿宋_GB2312" w:hAnsi="黑体" w:eastAsia="仿宋_GB2312" w:cs="黑体"/>
          <w:b/>
          <w:sz w:val="32"/>
          <w:szCs w:val="32"/>
        </w:rPr>
        <w:t>20.超前布局应急管理人工智能新赛道</w:t>
      </w:r>
      <w:r>
        <w:rPr>
          <w:rFonts w:hint="eastAsia" w:ascii="仿宋_GB2312" w:hAnsi="楷体" w:eastAsia="仿宋_GB2312" w:cs="楷体"/>
          <w:sz w:val="32"/>
          <w:szCs w:val="32"/>
        </w:rPr>
        <w:t>。统筹推进应急管理“一库四平台”信息化体系建设，推动“数智应急”和基层治理有机融合。</w:t>
      </w:r>
      <w:r>
        <w:rPr>
          <w:rFonts w:ascii="仿宋_GB2312" w:hAnsi="楷体" w:eastAsia="仿宋_GB2312" w:cs="楷体"/>
          <w:b w:val="0"/>
          <w:bCs/>
          <w:sz w:val="32"/>
          <w:szCs w:val="32"/>
        </w:rPr>
        <w:t>深化各类安全应急数据汇聚整合与挖掘分析，打造应急管理垂直领域大模型</w:t>
      </w:r>
      <w:r>
        <w:rPr>
          <w:rFonts w:hint="eastAsia" w:ascii="仿宋_GB2312" w:hAnsi="楷体" w:eastAsia="仿宋_GB2312" w:cs="楷体"/>
          <w:b w:val="0"/>
          <w:bCs/>
          <w:sz w:val="32"/>
          <w:szCs w:val="32"/>
        </w:rPr>
        <w:t>。</w:t>
      </w:r>
      <w:r>
        <w:rPr>
          <w:rFonts w:hint="eastAsia" w:ascii="仿宋_GB2312" w:hAnsi="楷体" w:eastAsia="仿宋_GB2312" w:cs="楷体"/>
          <w:sz w:val="32"/>
          <w:szCs w:val="32"/>
        </w:rPr>
        <w:t>以场景化应用需求和实战实效为导向，探索建立“AI+初期火情预警”“AI+风险隐患排查”“AI+智能监管执法”等数字化应用新模式。</w:t>
      </w:r>
      <w:bookmarkStart w:id="47" w:name="OLE_LINK19"/>
    </w:p>
    <w:bookmarkEnd w:id="47"/>
    <w:p>
      <w:pPr>
        <w:widowControl/>
        <w:spacing w:line="560" w:lineRule="exact"/>
        <w:ind w:firstLine="642" w:firstLineChars="200"/>
        <w:outlineLvl w:val="2"/>
        <w:rPr>
          <w:rFonts w:hint="eastAsia" w:ascii="仿宋_GB2312" w:hAnsi="黑体" w:eastAsia="仿宋_GB2312" w:cs="黑体"/>
          <w:bCs/>
          <w:sz w:val="32"/>
          <w:szCs w:val="32"/>
        </w:rPr>
      </w:pPr>
      <w:r>
        <w:rPr>
          <w:rFonts w:hint="eastAsia" w:ascii="仿宋_GB2312" w:hAnsi="黑体" w:eastAsia="仿宋_GB2312" w:cs="黑体"/>
          <w:b/>
          <w:sz w:val="32"/>
          <w:szCs w:val="32"/>
        </w:rPr>
        <w:t>21.</w:t>
      </w:r>
      <w:r>
        <w:rPr>
          <w:rFonts w:hint="eastAsia" w:ascii="仿宋_GB2312" w:hAnsi="黑体" w:eastAsia="仿宋_GB2312" w:cs="黑体"/>
          <w:b/>
          <w:bCs/>
          <w:sz w:val="32"/>
          <w:szCs w:val="32"/>
        </w:rPr>
        <w:t>加速关键技术研发应用。</w:t>
      </w:r>
      <w:r>
        <w:rPr>
          <w:rFonts w:hint="eastAsia" w:ascii="仿宋_GB2312" w:hAnsi="黑体" w:eastAsia="仿宋_GB2312" w:cs="黑体"/>
          <w:bCs/>
          <w:sz w:val="32"/>
          <w:szCs w:val="32"/>
        </w:rPr>
        <w:t>优化应急管理科技领域科研项目资金管理机制，</w:t>
      </w:r>
      <w:r>
        <w:rPr>
          <w:rFonts w:hint="eastAsia" w:ascii="仿宋_GB2312" w:hAnsi="黑体" w:eastAsia="仿宋_GB2312" w:cs="黑体"/>
          <w:sz w:val="32"/>
          <w:szCs w:val="32"/>
        </w:rPr>
        <w:t>加强应急管理科技发展趋势研究、技术预测和供需对接，组织实施一批关键技术难题“揭榜挂帅”“合作创新”项目</w:t>
      </w:r>
      <w:r>
        <w:rPr>
          <w:rFonts w:hint="eastAsia" w:ascii="仿宋_GB2312" w:hAnsi="黑体" w:eastAsia="仿宋_GB2312" w:cs="黑体"/>
          <w:bCs/>
          <w:sz w:val="32"/>
          <w:szCs w:val="32"/>
        </w:rPr>
        <w:t>。加强</w:t>
      </w:r>
      <w:r>
        <w:rPr>
          <w:rFonts w:hint="eastAsia" w:ascii="仿宋_GB2312" w:hAnsi="黑体" w:eastAsia="仿宋_GB2312" w:cs="黑体"/>
          <w:sz w:val="32"/>
          <w:szCs w:val="32"/>
        </w:rPr>
        <w:t>国家城市安全发展科技研究院（基地）、</w:t>
      </w:r>
      <w:r>
        <w:rPr>
          <w:rFonts w:hint="eastAsia" w:ascii="仿宋_GB2312" w:hAnsi="黑体" w:eastAsia="仿宋_GB2312" w:cs="黑体"/>
          <w:bCs/>
          <w:sz w:val="32"/>
          <w:szCs w:val="32"/>
        </w:rPr>
        <w:t>城市安全风险监测预警应急管理部重点实验室、广东省城市安全风险防控工程技术研究中心、深圳市城市灾害数字孪生重点实验室等科技创新平台建设。</w:t>
      </w:r>
      <w:r>
        <w:rPr>
          <w:rFonts w:hint="eastAsia" w:ascii="仿宋_GB2312" w:hAnsi="黑体" w:eastAsia="仿宋_GB2312" w:cs="黑体"/>
          <w:sz w:val="32"/>
          <w:szCs w:val="32"/>
        </w:rPr>
        <w:t>健全应急装备“科研攻关、实战校验、示范推广、统型列装”全链条工作机制，</w:t>
      </w:r>
      <w:r>
        <w:rPr>
          <w:rFonts w:hint="eastAsia" w:ascii="仿宋_GB2312" w:hAnsi="黑体" w:eastAsia="仿宋_GB2312" w:cs="黑体"/>
          <w:bCs/>
          <w:sz w:val="32"/>
          <w:szCs w:val="32"/>
        </w:rPr>
        <w:t>鼓励支持国有企业和科技企业组建应急管理装备创新联合体，加快“高精特专”“小快轻智”装备研发应用。</w:t>
      </w:r>
    </w:p>
    <w:p>
      <w:pPr>
        <w:widowControl/>
        <w:spacing w:line="560" w:lineRule="exact"/>
        <w:ind w:firstLine="642" w:firstLineChars="200"/>
        <w:outlineLvl w:val="2"/>
        <w:rPr>
          <w:rFonts w:hint="eastAsia" w:ascii="仿宋_GB2312" w:hAnsi="黑体" w:eastAsia="仿宋_GB2312" w:cs="黑体"/>
          <w:b/>
          <w:sz w:val="32"/>
          <w:szCs w:val="32"/>
        </w:rPr>
      </w:pPr>
      <w:r>
        <w:rPr>
          <w:rFonts w:hint="eastAsia" w:ascii="仿宋_GB2312" w:hAnsi="黑体" w:eastAsia="仿宋_GB2312" w:cs="黑体"/>
          <w:b/>
          <w:bCs/>
          <w:sz w:val="32"/>
          <w:szCs w:val="32"/>
        </w:rPr>
        <w:t>22.提升应急救援智能化专业化能力。</w:t>
      </w:r>
      <w:r>
        <w:rPr>
          <w:rFonts w:hint="eastAsia" w:ascii="仿宋_GB2312" w:hAnsi="黑体" w:eastAsia="仿宋_GB2312" w:cs="黑体"/>
          <w:b w:val="0"/>
          <w:bCs w:val="0"/>
          <w:sz w:val="32"/>
          <w:szCs w:val="32"/>
        </w:rPr>
        <w:t>组建应急智能处置队伍，打造前方无人化、后方可视化、决策智能化的救援力量。</w:t>
      </w:r>
      <w:r>
        <w:rPr>
          <w:rFonts w:hint="eastAsia" w:ascii="仿宋_GB2312" w:hAnsi="黑体" w:eastAsia="仿宋_GB2312" w:cs="黑体"/>
          <w:sz w:val="32"/>
          <w:szCs w:val="32"/>
        </w:rPr>
        <w:t>建设应急救援装备测试及成果转化实验室，搭建集产品测试、战法训练、展示推广、成果转化于一体的综合性平台，推动智能无人系统、应急通信感知等重点领域关键技术攻关成果向实战能力快速转化。</w:t>
      </w:r>
      <w:r>
        <w:rPr>
          <w:rFonts w:ascii="仿宋_GB2312" w:hAnsi="Calibri" w:eastAsia="仿宋_GB2312"/>
          <w:bCs/>
          <w:sz w:val="32"/>
          <w:szCs w:val="32"/>
        </w:rPr>
        <w:t>构建公专协同联动的应急通信体系，推进全市370MHz数字集群</w:t>
      </w:r>
      <w:r>
        <w:rPr>
          <w:rFonts w:hint="eastAsia" w:ascii="仿宋_GB2312" w:hAnsi="Calibri" w:eastAsia="仿宋_GB2312"/>
          <w:bCs/>
          <w:sz w:val="32"/>
          <w:szCs w:val="32"/>
        </w:rPr>
        <w:t>（ePDT）</w:t>
      </w:r>
      <w:r>
        <w:rPr>
          <w:rFonts w:ascii="仿宋_GB2312" w:hAnsi="Calibri" w:eastAsia="仿宋_GB2312"/>
          <w:bCs/>
          <w:sz w:val="32"/>
          <w:szCs w:val="32"/>
        </w:rPr>
        <w:t>网建设，推广应用卫星电话、北斗终端、低空通信中继无人机等装备，确保</w:t>
      </w:r>
      <w:r>
        <w:rPr>
          <w:rFonts w:hint="eastAsia" w:ascii="仿宋_GB2312" w:hAnsi="Calibri" w:eastAsia="仿宋_GB2312"/>
          <w:bCs/>
          <w:sz w:val="32"/>
          <w:szCs w:val="32"/>
        </w:rPr>
        <w:t>“</w:t>
      </w:r>
      <w:r>
        <w:rPr>
          <w:rFonts w:ascii="仿宋_GB2312" w:hAnsi="Calibri" w:eastAsia="仿宋_GB2312"/>
          <w:bCs/>
          <w:sz w:val="32"/>
          <w:szCs w:val="32"/>
        </w:rPr>
        <w:t>三断</w:t>
      </w:r>
      <w:r>
        <w:rPr>
          <w:rFonts w:hint="eastAsia" w:ascii="仿宋_GB2312" w:hAnsi="Calibri" w:eastAsia="仿宋_GB2312"/>
          <w:bCs/>
          <w:sz w:val="32"/>
          <w:szCs w:val="32"/>
        </w:rPr>
        <w:t>”</w:t>
      </w:r>
      <w:r>
        <w:rPr>
          <w:rStyle w:val="33"/>
          <w:rFonts w:hint="eastAsia" w:ascii="仿宋_GB2312" w:hAnsi="Calibri" w:eastAsia="仿宋_GB2312"/>
          <w:bCs/>
          <w:sz w:val="32"/>
          <w:szCs w:val="32"/>
        </w:rPr>
        <w:footnoteReference w:id="3"/>
      </w:r>
      <w:r>
        <w:rPr>
          <w:rFonts w:ascii="仿宋_GB2312" w:hAnsi="Calibri" w:eastAsia="仿宋_GB2312"/>
          <w:bCs/>
          <w:sz w:val="32"/>
          <w:szCs w:val="32"/>
        </w:rPr>
        <w:t>等极端条件下通信畅通。</w:t>
      </w:r>
    </w:p>
    <w:p>
      <w:pPr>
        <w:widowControl/>
        <w:spacing w:line="560" w:lineRule="exact"/>
        <w:ind w:firstLine="642" w:firstLineChars="200"/>
        <w:outlineLvl w:val="2"/>
        <w:rPr>
          <w:rFonts w:hint="eastAsia" w:ascii="仿宋_GB2312" w:hAnsi="黑体" w:eastAsia="仿宋_GB2312" w:cs="黑体"/>
          <w:sz w:val="32"/>
          <w:szCs w:val="32"/>
        </w:rPr>
      </w:pPr>
      <w:r>
        <w:rPr>
          <w:rFonts w:hint="eastAsia" w:ascii="仿宋_GB2312" w:hAnsi="黑体" w:eastAsia="仿宋_GB2312" w:cs="黑体"/>
          <w:b/>
          <w:sz w:val="32"/>
          <w:szCs w:val="32"/>
        </w:rPr>
        <w:t>23.培育壮大安全应急产业</w:t>
      </w:r>
      <w:r>
        <w:rPr>
          <w:rFonts w:hint="eastAsia" w:ascii="仿宋_GB2312" w:hAnsi="黑体" w:eastAsia="仿宋_GB2312" w:cs="黑体"/>
          <w:sz w:val="32"/>
          <w:szCs w:val="32"/>
        </w:rPr>
        <w:t>。扎实推进应急管理科技创新与安全应急装备产业创新深度融合，支持安全应急领域产业链协同创新和首台（套）重大技术装备推广应用。</w:t>
      </w:r>
      <w:r>
        <w:rPr>
          <w:rFonts w:hint="eastAsia" w:ascii="仿宋_GB2312" w:hAnsi="黑体" w:eastAsia="仿宋_GB2312" w:cs="黑体"/>
          <w:b w:val="0"/>
          <w:bCs w:val="0"/>
          <w:sz w:val="32"/>
          <w:szCs w:val="32"/>
        </w:rPr>
        <w:t>在</w:t>
      </w:r>
      <w:r>
        <w:rPr>
          <w:rFonts w:ascii="仿宋_GB2312" w:hAnsi="黑体" w:eastAsia="仿宋_GB2312" w:cs="黑体"/>
          <w:b w:val="0"/>
          <w:bCs w:val="0"/>
          <w:sz w:val="32"/>
          <w:szCs w:val="32"/>
        </w:rPr>
        <w:t>罗湖</w:t>
      </w:r>
      <w:r>
        <w:rPr>
          <w:rFonts w:hint="eastAsia" w:ascii="仿宋_GB2312" w:hAnsi="黑体" w:eastAsia="仿宋_GB2312" w:cs="黑体"/>
          <w:b w:val="0"/>
          <w:bCs w:val="0"/>
          <w:sz w:val="32"/>
          <w:szCs w:val="32"/>
        </w:rPr>
        <w:t>区</w:t>
      </w:r>
      <w:r>
        <w:rPr>
          <w:rFonts w:ascii="仿宋_GB2312" w:hAnsi="黑体" w:eastAsia="仿宋_GB2312" w:cs="黑体"/>
          <w:b w:val="0"/>
          <w:bCs w:val="0"/>
          <w:sz w:val="32"/>
          <w:szCs w:val="32"/>
        </w:rPr>
        <w:t>、宝安</w:t>
      </w:r>
      <w:r>
        <w:rPr>
          <w:rFonts w:hint="eastAsia" w:ascii="仿宋_GB2312" w:hAnsi="黑体" w:eastAsia="仿宋_GB2312" w:cs="黑体"/>
          <w:b w:val="0"/>
          <w:bCs w:val="0"/>
          <w:sz w:val="32"/>
          <w:szCs w:val="32"/>
        </w:rPr>
        <w:t>区、</w:t>
      </w:r>
      <w:r>
        <w:rPr>
          <w:rFonts w:ascii="仿宋_GB2312" w:hAnsi="黑体" w:eastAsia="仿宋_GB2312" w:cs="黑体"/>
          <w:b w:val="0"/>
          <w:bCs w:val="0"/>
          <w:sz w:val="32"/>
          <w:szCs w:val="32"/>
        </w:rPr>
        <w:t>龙岗</w:t>
      </w:r>
      <w:r>
        <w:rPr>
          <w:rFonts w:hint="eastAsia" w:ascii="仿宋_GB2312" w:hAnsi="黑体" w:eastAsia="仿宋_GB2312" w:cs="黑体"/>
          <w:b w:val="0"/>
          <w:bCs w:val="0"/>
          <w:sz w:val="32"/>
          <w:szCs w:val="32"/>
        </w:rPr>
        <w:t>区</w:t>
      </w:r>
      <w:r>
        <w:rPr>
          <w:rFonts w:ascii="仿宋_GB2312" w:hAnsi="黑体" w:eastAsia="仿宋_GB2312" w:cs="黑体"/>
          <w:b w:val="0"/>
          <w:bCs w:val="0"/>
          <w:sz w:val="32"/>
          <w:szCs w:val="32"/>
        </w:rPr>
        <w:t>、</w:t>
      </w:r>
      <w:r>
        <w:rPr>
          <w:rFonts w:hint="eastAsia" w:ascii="仿宋_GB2312" w:hAnsi="黑体" w:eastAsia="仿宋_GB2312" w:cs="黑体"/>
          <w:b w:val="0"/>
          <w:bCs w:val="0"/>
          <w:sz w:val="32"/>
          <w:szCs w:val="32"/>
        </w:rPr>
        <w:t>大鹏新区及</w:t>
      </w:r>
      <w:r>
        <w:rPr>
          <w:rFonts w:ascii="仿宋_GB2312" w:hAnsi="黑体" w:eastAsia="仿宋_GB2312" w:cs="黑体"/>
          <w:b w:val="0"/>
          <w:bCs w:val="0"/>
          <w:sz w:val="32"/>
          <w:szCs w:val="32"/>
        </w:rPr>
        <w:t>深汕特别合作区</w:t>
      </w:r>
      <w:r>
        <w:rPr>
          <w:rFonts w:hint="eastAsia" w:ascii="仿宋_GB2312" w:hAnsi="黑体" w:eastAsia="仿宋_GB2312" w:cs="黑体"/>
          <w:b w:val="0"/>
          <w:bCs w:val="0"/>
          <w:sz w:val="32"/>
          <w:szCs w:val="32"/>
        </w:rPr>
        <w:t>布局</w:t>
      </w:r>
      <w:r>
        <w:rPr>
          <w:rFonts w:ascii="仿宋_GB2312" w:hAnsi="黑体" w:eastAsia="仿宋_GB2312" w:cs="黑体"/>
          <w:b w:val="0"/>
          <w:bCs w:val="0"/>
          <w:sz w:val="32"/>
          <w:szCs w:val="32"/>
        </w:rPr>
        <w:t>安全应急产业</w:t>
      </w:r>
      <w:r>
        <w:rPr>
          <w:rFonts w:ascii="仿宋_GB2312" w:hAnsi="楷体_GB2312" w:eastAsia="仿宋_GB2312"/>
          <w:b w:val="0"/>
          <w:bCs w:val="0"/>
          <w:sz w:val="32"/>
          <w:szCs w:val="32"/>
        </w:rPr>
        <w:t>，</w:t>
      </w:r>
      <w:r>
        <w:rPr>
          <w:rFonts w:hint="eastAsia" w:ascii="仿宋_GB2312" w:hAnsi="楷体_GB2312" w:eastAsia="仿宋_GB2312"/>
          <w:b w:val="0"/>
          <w:bCs w:val="0"/>
          <w:sz w:val="32"/>
          <w:szCs w:val="32"/>
        </w:rPr>
        <w:t>打造</w:t>
      </w:r>
      <w:r>
        <w:rPr>
          <w:rFonts w:hint="eastAsia" w:ascii="仿宋_GB2312" w:hAnsi="黑体" w:eastAsia="仿宋_GB2312" w:cs="黑体"/>
          <w:b w:val="0"/>
          <w:bCs w:val="0"/>
          <w:sz w:val="32"/>
          <w:szCs w:val="32"/>
        </w:rPr>
        <w:t>特色鲜明的产业示范基地</w:t>
      </w:r>
      <w:r>
        <w:rPr>
          <w:rFonts w:hint="eastAsia" w:ascii="仿宋_GB2312" w:hAnsi="黑体" w:eastAsia="仿宋_GB2312" w:cs="黑体"/>
          <w:sz w:val="32"/>
          <w:szCs w:val="32"/>
        </w:rPr>
        <w:t>。</w:t>
      </w:r>
      <w:r>
        <w:rPr>
          <w:rFonts w:hint="eastAsia" w:ascii="仿宋_GB2312" w:hAnsi="黑体" w:eastAsia="仿宋_GB2312" w:cs="黑体"/>
          <w:b w:val="0"/>
          <w:bCs w:val="0"/>
          <w:sz w:val="32"/>
          <w:szCs w:val="32"/>
        </w:rPr>
        <w:t>建设应急管理新技术、新产品、新装备概念验证中心和中小试基地，为应急装备研发提供第三方检测、中试验证、性能评估服务。</w:t>
      </w:r>
      <w:r>
        <w:rPr>
          <w:rFonts w:hint="eastAsia" w:ascii="仿宋_GB2312" w:hAnsi="黑体" w:eastAsia="仿宋_GB2312" w:cs="黑体"/>
          <w:sz w:val="32"/>
          <w:szCs w:val="32"/>
        </w:rPr>
        <w:t>加大</w:t>
      </w:r>
      <w:r>
        <w:rPr>
          <w:rFonts w:ascii="仿宋_GB2312" w:hAnsi="黑体" w:eastAsia="仿宋_GB2312" w:cs="黑体"/>
          <w:sz w:val="32"/>
          <w:szCs w:val="32"/>
        </w:rPr>
        <w:t>产业</w:t>
      </w:r>
      <w:r>
        <w:rPr>
          <w:rFonts w:hint="eastAsia" w:ascii="仿宋_GB2312" w:hAnsi="黑体" w:eastAsia="仿宋_GB2312" w:cs="黑体"/>
          <w:sz w:val="32"/>
          <w:szCs w:val="32"/>
        </w:rPr>
        <w:t>配套</w:t>
      </w:r>
      <w:r>
        <w:rPr>
          <w:rFonts w:ascii="仿宋_GB2312" w:hAnsi="黑体" w:eastAsia="仿宋_GB2312" w:cs="黑体"/>
          <w:sz w:val="32"/>
          <w:szCs w:val="32"/>
        </w:rPr>
        <w:t>政策扶持</w:t>
      </w:r>
      <w:r>
        <w:rPr>
          <w:rFonts w:hint="eastAsia" w:ascii="仿宋_GB2312" w:hAnsi="黑体" w:eastAsia="仿宋_GB2312" w:cs="黑体"/>
          <w:sz w:val="32"/>
          <w:szCs w:val="32"/>
        </w:rPr>
        <w:t>力度</w:t>
      </w:r>
      <w:r>
        <w:rPr>
          <w:rFonts w:ascii="仿宋_GB2312" w:hAnsi="黑体" w:eastAsia="仿宋_GB2312" w:cs="黑体"/>
          <w:sz w:val="32"/>
          <w:szCs w:val="32"/>
        </w:rPr>
        <w:t>，</w:t>
      </w:r>
      <w:r>
        <w:rPr>
          <w:rFonts w:hint="eastAsia" w:ascii="仿宋_GB2312" w:hAnsi="黑体" w:eastAsia="仿宋_GB2312" w:cs="黑体"/>
          <w:sz w:val="32"/>
          <w:szCs w:val="32"/>
        </w:rPr>
        <w:t>持续</w:t>
      </w:r>
      <w:r>
        <w:rPr>
          <w:rFonts w:ascii="仿宋_GB2312" w:hAnsi="黑体" w:eastAsia="仿宋_GB2312" w:cs="黑体"/>
          <w:sz w:val="32"/>
          <w:szCs w:val="32"/>
        </w:rPr>
        <w:t>优化</w:t>
      </w:r>
      <w:r>
        <w:rPr>
          <w:rFonts w:hint="eastAsia" w:ascii="仿宋_GB2312" w:hAnsi="黑体" w:eastAsia="仿宋_GB2312" w:cs="黑体"/>
          <w:sz w:val="32"/>
          <w:szCs w:val="32"/>
        </w:rPr>
        <w:t>营商</w:t>
      </w:r>
      <w:r>
        <w:rPr>
          <w:rFonts w:ascii="仿宋_GB2312" w:hAnsi="黑体" w:eastAsia="仿宋_GB2312" w:cs="黑体"/>
          <w:sz w:val="32"/>
          <w:szCs w:val="32"/>
        </w:rPr>
        <w:t>环境，吸引优质资源集聚，</w:t>
      </w:r>
      <w:r>
        <w:rPr>
          <w:rFonts w:hint="eastAsia" w:ascii="仿宋_GB2312" w:hAnsi="黑体" w:eastAsia="仿宋_GB2312" w:cs="黑体"/>
          <w:sz w:val="32"/>
          <w:szCs w:val="32"/>
        </w:rPr>
        <w:t>助力</w:t>
      </w:r>
      <w:r>
        <w:rPr>
          <w:rFonts w:ascii="仿宋_GB2312" w:hAnsi="黑体" w:eastAsia="仿宋_GB2312" w:cs="黑体"/>
          <w:sz w:val="32"/>
          <w:szCs w:val="32"/>
        </w:rPr>
        <w:t>安全应急产业成为深圳新兴产业重要增长极。</w:t>
      </w:r>
    </w:p>
    <w:tbl>
      <w:tblPr>
        <w:tblStyle w:val="26"/>
        <w:tblW w:w="0" w:type="auto"/>
        <w:jc w:val="center"/>
        <w:tblLayout w:type="autofit"/>
        <w:tblCellMar>
          <w:top w:w="0" w:type="dxa"/>
          <w:left w:w="108" w:type="dxa"/>
          <w:bottom w:w="0" w:type="dxa"/>
          <w:right w:w="108" w:type="dxa"/>
        </w:tblCellMar>
      </w:tblPr>
      <w:tblGrid>
        <w:gridCol w:w="9061"/>
      </w:tblGrid>
      <w:tr>
        <w:tblPrEx>
          <w:tblCellMar>
            <w:top w:w="0" w:type="dxa"/>
            <w:left w:w="108" w:type="dxa"/>
            <w:bottom w:w="0" w:type="dxa"/>
            <w:right w:w="108" w:type="dxa"/>
          </w:tblCellMar>
        </w:tblPrEx>
        <w:trPr>
          <w:trHeight w:val="57" w:hRule="atLeast"/>
          <w:jc w:val="center"/>
        </w:trPr>
        <w:tc>
          <w:tcPr>
            <w:tcW w:w="0" w:type="auto"/>
            <w:tcBorders>
              <w:top w:val="single" w:color="000000" w:sz="4" w:space="0"/>
              <w:left w:val="single" w:color="000000" w:sz="4" w:space="0"/>
              <w:bottom w:val="single" w:color="000000" w:sz="4" w:space="0"/>
              <w:right w:val="single" w:color="000000" w:sz="4" w:space="0"/>
            </w:tcBorders>
            <w:tcMar>
              <w:top w:w="-1" w:type="dxa"/>
              <w:left w:w="-1" w:type="dxa"/>
              <w:bottom w:w="-1" w:type="dxa"/>
              <w:right w:w="-1" w:type="dxa"/>
            </w:tcMar>
            <w:vAlign w:val="center"/>
          </w:tcPr>
          <w:p>
            <w:pPr>
              <w:widowControl/>
              <w:jc w:val="center"/>
              <w:textAlignment w:val="center"/>
              <w:rPr>
                <w:rFonts w:hint="eastAsia" w:ascii="仿宋_GB2312" w:hAnsi="方正仿宋_GB18030" w:eastAsia="仿宋_GB2312" w:cs="方正仿宋_GB18030"/>
                <w:b/>
                <w:szCs w:val="21"/>
                <w:lang w:bidi="ar"/>
              </w:rPr>
            </w:pPr>
            <w:r>
              <w:rPr>
                <w:rFonts w:hint="eastAsia" w:ascii="仿宋_GB2312" w:hAnsi="方正仿宋_GB18030" w:eastAsia="仿宋_GB2312" w:cs="方正仿宋_GB18030"/>
                <w:b/>
                <w:szCs w:val="21"/>
                <w:lang w:bidi="ar"/>
              </w:rPr>
              <w:t>专栏4 数智科技赋能建设工程</w:t>
            </w:r>
          </w:p>
        </w:tc>
      </w:tr>
      <w:tr>
        <w:tblPrEx>
          <w:tblCellMar>
            <w:top w:w="0" w:type="dxa"/>
            <w:left w:w="108" w:type="dxa"/>
            <w:bottom w:w="0" w:type="dxa"/>
            <w:right w:w="108" w:type="dxa"/>
          </w:tblCellMar>
        </w:tblPrEx>
        <w:trPr>
          <w:trHeight w:val="699" w:hRule="atLeast"/>
          <w:jc w:val="center"/>
        </w:trPr>
        <w:tc>
          <w:tcPr>
            <w:tcW w:w="0" w:type="auto"/>
            <w:tcBorders>
              <w:top w:val="single" w:color="000000" w:sz="4" w:space="0"/>
              <w:left w:val="single" w:color="000000" w:sz="4" w:space="0"/>
              <w:bottom w:val="single" w:color="000000" w:sz="4" w:space="0"/>
              <w:right w:val="single" w:color="000000" w:sz="4" w:space="0"/>
            </w:tcBorders>
            <w:tcMar>
              <w:top w:w="-1" w:type="dxa"/>
              <w:left w:w="-1" w:type="dxa"/>
              <w:bottom w:w="-1" w:type="dxa"/>
              <w:right w:w="-1" w:type="dxa"/>
            </w:tcMar>
          </w:tcPr>
          <w:p>
            <w:pPr>
              <w:widowControl/>
              <w:rPr>
                <w:rFonts w:hint="eastAsia" w:ascii="仿宋_GB2312" w:hAnsi="方正仿宋_GB18030" w:eastAsia="仿宋_GB2312" w:cs="方正仿宋_GB18030"/>
                <w:b/>
                <w:bCs/>
                <w:color w:val="auto"/>
                <w:szCs w:val="21"/>
              </w:rPr>
            </w:pPr>
            <w:r>
              <w:rPr>
                <w:rFonts w:hint="eastAsia" w:ascii="仿宋_GB2312" w:hAnsi="方正仿宋_GB18030" w:eastAsia="仿宋_GB2312" w:cs="方正仿宋_GB18030"/>
                <w:b/>
                <w:bCs/>
                <w:color w:val="auto"/>
                <w:szCs w:val="21"/>
              </w:rPr>
              <w:t>1</w:t>
            </w:r>
            <w:r>
              <w:rPr>
                <w:rFonts w:hint="eastAsia" w:ascii="仿宋_GB2312" w:hAnsi="方正仿宋_GB18030" w:eastAsia="仿宋_GB2312" w:cs="方正仿宋_GB18030"/>
                <w:b/>
                <w:bCs/>
                <w:color w:val="auto"/>
                <w:szCs w:val="21"/>
                <w:lang w:val="en-US" w:eastAsia="zh-CN"/>
              </w:rPr>
              <w:t>6</w:t>
            </w:r>
            <w:r>
              <w:rPr>
                <w:rFonts w:hint="eastAsia" w:ascii="仿宋_GB2312" w:hAnsi="方正仿宋_GB18030" w:eastAsia="仿宋_GB2312" w:cs="方正仿宋_GB18030"/>
                <w:b/>
                <w:bCs/>
                <w:color w:val="auto"/>
                <w:szCs w:val="21"/>
              </w:rPr>
              <w:t>.城市安全“天-空-地”协同监测预警技术试点应用。</w:t>
            </w:r>
            <w:r>
              <w:rPr>
                <w:rFonts w:hint="eastAsia" w:ascii="仿宋_GB2312" w:hAnsi="方正仿宋_GB18030" w:eastAsia="仿宋_GB2312" w:cs="方正仿宋_GB18030"/>
                <w:color w:val="auto"/>
                <w:szCs w:val="21"/>
              </w:rPr>
              <w:t>针对老旧房屋、路面塌陷、边坡稳定、水库大坝、玻璃幕墙、树木倒伏6类深圳市典型场景，构建“天-空-地”协同监测预警技术框架，并开展技术试点应用。</w:t>
            </w:r>
          </w:p>
          <w:p>
            <w:pPr>
              <w:widowControl/>
              <w:rPr>
                <w:rFonts w:hint="eastAsia" w:ascii="仿宋_GB2312" w:hAnsi="方正仿宋_GB18030" w:eastAsia="仿宋_GB2312" w:cs="方正仿宋_GB18030"/>
                <w:b/>
                <w:bCs/>
                <w:szCs w:val="21"/>
              </w:rPr>
            </w:pPr>
            <w:r>
              <w:rPr>
                <w:rFonts w:hint="eastAsia" w:ascii="仿宋_GB2312" w:hAnsi="方正仿宋_GB18030" w:eastAsia="仿宋_GB2312" w:cs="方正仿宋_GB18030"/>
                <w:b/>
                <w:bCs/>
                <w:color w:val="auto"/>
                <w:szCs w:val="21"/>
              </w:rPr>
              <w:t>1</w:t>
            </w:r>
            <w:r>
              <w:rPr>
                <w:rFonts w:hint="eastAsia" w:ascii="仿宋_GB2312" w:hAnsi="方正仿宋_GB18030" w:eastAsia="仿宋_GB2312" w:cs="方正仿宋_GB18030"/>
                <w:b/>
                <w:bCs/>
                <w:color w:val="auto"/>
                <w:szCs w:val="21"/>
                <w:lang w:val="en-US" w:eastAsia="zh-CN"/>
              </w:rPr>
              <w:t>7</w:t>
            </w:r>
            <w:r>
              <w:rPr>
                <w:rFonts w:hint="eastAsia" w:ascii="仿宋_GB2312" w:hAnsi="方正仿宋_GB18030" w:eastAsia="仿宋_GB2312" w:cs="方正仿宋_GB18030"/>
                <w:b/>
                <w:bCs/>
                <w:color w:val="auto"/>
                <w:szCs w:val="21"/>
              </w:rPr>
              <w:t>.应急智能处置大队建设。</w:t>
            </w:r>
            <w:bookmarkStart w:id="48" w:name="OLE_LINK4"/>
            <w:r>
              <w:rPr>
                <w:rFonts w:hint="eastAsia" w:ascii="仿宋_GB2312" w:hAnsi="方正仿宋_GB18030" w:eastAsia="仿宋_GB2312" w:cs="方正仿宋_GB18030"/>
                <w:color w:val="auto"/>
                <w:szCs w:val="21"/>
              </w:rPr>
              <w:t>建成全国首支成建制的无人化、智能化应急处置大队。围绕森林防灭火、水域救援、地面塌陷救援、危化品处置等重点场景，列装长航时侦察无人机、三维建模无人机、大载重无人直升机、大载重运载无人机等应急救援装备。</w:t>
            </w:r>
          </w:p>
          <w:bookmarkEnd w:id="48"/>
          <w:p>
            <w:pPr>
              <w:widowControl/>
              <w:rPr>
                <w:rFonts w:hint="eastAsia" w:ascii="仿宋_GB2312" w:hAnsi="方正仿宋_GB18030" w:eastAsia="仿宋_GB2312" w:cs="方正仿宋_GB18030"/>
                <w:b/>
                <w:bCs/>
                <w:szCs w:val="21"/>
              </w:rPr>
            </w:pPr>
            <w:r>
              <w:rPr>
                <w:rFonts w:hint="eastAsia" w:ascii="仿宋_GB2312" w:hAnsi="方正仿宋_GB18030" w:eastAsia="仿宋_GB2312" w:cs="方正仿宋_GB18030"/>
                <w:b/>
                <w:bCs/>
                <w:szCs w:val="21"/>
              </w:rPr>
              <w:t>1</w:t>
            </w:r>
            <w:r>
              <w:rPr>
                <w:rFonts w:hint="eastAsia" w:ascii="仿宋_GB2312" w:hAnsi="方正仿宋_GB18030" w:eastAsia="仿宋_GB2312" w:cs="方正仿宋_GB18030"/>
                <w:b/>
                <w:bCs/>
                <w:szCs w:val="21"/>
                <w:lang w:val="en-US" w:eastAsia="zh-CN"/>
              </w:rPr>
              <w:t>8</w:t>
            </w:r>
            <w:r>
              <w:rPr>
                <w:rFonts w:hint="eastAsia" w:ascii="仿宋_GB2312" w:hAnsi="方正仿宋_GB18030" w:eastAsia="仿宋_GB2312" w:cs="方正仿宋_GB18030"/>
                <w:b/>
                <w:bCs/>
                <w:szCs w:val="21"/>
              </w:rPr>
              <w:t>.城市安全风险综合监测预警平台（二期）。</w:t>
            </w:r>
            <w:r>
              <w:rPr>
                <w:rFonts w:hint="eastAsia" w:ascii="仿宋_GB2312" w:hAnsi="方正仿宋_GB18030" w:eastAsia="仿宋_GB2312" w:cs="方正仿宋_GB18030"/>
                <w:szCs w:val="21"/>
              </w:rPr>
              <w:t>以城市安全风险综合监测预警平台（一期）为支撑，持续汇聚燃气、长输油气、智能水电气表等多源数据，推进危险化学品、填海片区、既有房屋、交通运输等高风险场景建设。</w:t>
            </w:r>
          </w:p>
          <w:p>
            <w:pPr>
              <w:widowControl/>
              <w:rPr>
                <w:rFonts w:hint="eastAsia" w:ascii="仿宋_GB2312" w:hAnsi="方正仿宋_GB18030" w:eastAsia="仿宋_GB2312" w:cs="方正仿宋_GB18030"/>
                <w:color w:val="auto"/>
                <w:szCs w:val="21"/>
              </w:rPr>
            </w:pPr>
            <w:r>
              <w:rPr>
                <w:rFonts w:hint="eastAsia" w:ascii="仿宋_GB2312" w:hAnsi="方正仿宋_GB18030" w:eastAsia="仿宋_GB2312" w:cs="方正仿宋_GB18030"/>
                <w:b/>
                <w:bCs/>
                <w:color w:val="auto"/>
                <w:szCs w:val="21"/>
              </w:rPr>
              <w:t>1</w:t>
            </w:r>
            <w:r>
              <w:rPr>
                <w:rFonts w:hint="eastAsia" w:ascii="仿宋_GB2312" w:hAnsi="方正仿宋_GB18030" w:eastAsia="仿宋_GB2312" w:cs="方正仿宋_GB18030"/>
                <w:b/>
                <w:bCs/>
                <w:color w:val="auto"/>
                <w:szCs w:val="21"/>
                <w:lang w:val="en-US" w:eastAsia="zh-CN"/>
              </w:rPr>
              <w:t>9</w:t>
            </w:r>
            <w:r>
              <w:rPr>
                <w:rFonts w:hint="eastAsia" w:ascii="仿宋_GB2312" w:hAnsi="方正仿宋_GB18030" w:eastAsia="仿宋_GB2312" w:cs="方正仿宋_GB18030"/>
                <w:b/>
                <w:bCs/>
                <w:color w:val="auto"/>
                <w:szCs w:val="21"/>
              </w:rPr>
              <w:t>.智慧防灾减灾救灾系统建设。</w:t>
            </w:r>
            <w:r>
              <w:rPr>
                <w:rFonts w:hint="eastAsia" w:ascii="仿宋_GB2312" w:hAnsi="方正仿宋_GB18030" w:eastAsia="仿宋_GB2312" w:cs="方正仿宋_GB18030"/>
                <w:color w:val="auto"/>
                <w:szCs w:val="21"/>
              </w:rPr>
              <w:t>深化智慧防灾减灾救灾系统建设，建设城市内涝、河道漫溢、风暴潮等场景分析研判模型，构建贯通“监测预警—辅助决策—协同指挥”全链条智能化的自然灾害防治支撑体系。</w:t>
            </w:r>
          </w:p>
          <w:p>
            <w:pPr>
              <w:widowControl/>
              <w:rPr>
                <w:rFonts w:hint="eastAsia" w:ascii="仿宋_GB2312" w:hAnsi="方正仿宋_GB18030" w:eastAsia="仿宋_GB2312" w:cs="方正仿宋_GB18030"/>
                <w:szCs w:val="21"/>
              </w:rPr>
            </w:pPr>
            <w:r>
              <w:rPr>
                <w:rFonts w:hint="eastAsia" w:ascii="仿宋_GB2312" w:hAnsi="方正仿宋_GB18030" w:eastAsia="仿宋_GB2312" w:cs="方正仿宋_GB18030"/>
                <w:b/>
                <w:bCs/>
                <w:szCs w:val="21"/>
                <w:lang w:val="en-US" w:eastAsia="zh-CN"/>
              </w:rPr>
              <w:t>20</w:t>
            </w:r>
            <w:r>
              <w:rPr>
                <w:rFonts w:hint="eastAsia" w:ascii="仿宋_GB2312" w:hAnsi="方正仿宋_GB18030" w:eastAsia="仿宋_GB2312" w:cs="方正仿宋_GB18030"/>
                <w:b/>
                <w:bCs/>
                <w:szCs w:val="21"/>
              </w:rPr>
              <w:t>.安全监管执法服务平台建设。</w:t>
            </w:r>
            <w:r>
              <w:rPr>
                <w:rFonts w:hint="eastAsia" w:ascii="仿宋_GB2312" w:hAnsi="方正仿宋_GB18030" w:eastAsia="仿宋_GB2312" w:cs="方正仿宋_GB18030"/>
                <w:szCs w:val="21"/>
              </w:rPr>
              <w:t>深化安全监管执法服务平台建设，整合打通监督管理、隐患治理、执法检查等多维数据，构建企业安全画像模型，促进信用信息监管融合，以数智赋能精细化监管。</w:t>
            </w:r>
          </w:p>
          <w:p>
            <w:pPr>
              <w:widowControl/>
              <w:rPr>
                <w:rFonts w:hint="eastAsia" w:ascii="仿宋_GB2312" w:hAnsi="方正仿宋_GB18030" w:eastAsia="仿宋_GB2312" w:cs="方正仿宋_GB18030"/>
                <w:b/>
                <w:bCs/>
                <w:szCs w:val="21"/>
              </w:rPr>
            </w:pPr>
            <w:r>
              <w:rPr>
                <w:rFonts w:hint="eastAsia" w:ascii="仿宋_GB2312" w:hAnsi="方正仿宋_GB18030" w:eastAsia="仿宋_GB2312" w:cs="方正仿宋_GB18030"/>
                <w:b/>
                <w:bCs/>
                <w:szCs w:val="21"/>
              </w:rPr>
              <w:t>2</w:t>
            </w:r>
            <w:r>
              <w:rPr>
                <w:rFonts w:hint="eastAsia" w:ascii="仿宋_GB2312" w:hAnsi="方正仿宋_GB18030" w:eastAsia="仿宋_GB2312" w:cs="方正仿宋_GB18030"/>
                <w:b/>
                <w:bCs/>
                <w:szCs w:val="21"/>
                <w:lang w:val="en-US" w:eastAsia="zh-CN"/>
              </w:rPr>
              <w:t>1</w:t>
            </w:r>
            <w:r>
              <w:rPr>
                <w:rFonts w:hint="eastAsia" w:ascii="仿宋_GB2312" w:hAnsi="方正仿宋_GB18030" w:eastAsia="仿宋_GB2312" w:cs="方正仿宋_GB18030"/>
                <w:b/>
                <w:bCs/>
                <w:szCs w:val="21"/>
              </w:rPr>
              <w:t>.安全生产服务机构精细化管理系统。</w:t>
            </w:r>
            <w:r>
              <w:rPr>
                <w:rFonts w:hint="eastAsia" w:ascii="仿宋_GB2312" w:hAnsi="方正仿宋_GB18030" w:eastAsia="仿宋_GB2312" w:cs="方正仿宋_GB18030"/>
                <w:szCs w:val="21"/>
                <w:lang w:bidi="ar"/>
              </w:rPr>
              <w:t>聚焦安全培训考试与社会化服务等重点领域，建设政府监管、安全服务机构管理、公众服务等系统模块，推动安全服务机构分类分级监管与全链条常态化监管，强化执业全过程与服务成果质量管控。</w:t>
            </w:r>
          </w:p>
          <w:p>
            <w:pPr>
              <w:widowControl/>
              <w:rPr>
                <w:rFonts w:hint="eastAsia" w:ascii="仿宋_GB2312" w:hAnsi="方正仿宋_GB18030" w:eastAsia="仿宋_GB2312" w:cs="方正仿宋_GB18030"/>
                <w:b/>
                <w:bCs/>
                <w:szCs w:val="21"/>
              </w:rPr>
            </w:pPr>
            <w:r>
              <w:rPr>
                <w:rFonts w:hint="eastAsia" w:ascii="仿宋_GB2312" w:hAnsi="方正仿宋_GB18030" w:eastAsia="仿宋_GB2312" w:cs="方正仿宋_GB18030"/>
                <w:b/>
                <w:bCs/>
                <w:szCs w:val="21"/>
              </w:rPr>
              <w:t>2</w:t>
            </w:r>
            <w:r>
              <w:rPr>
                <w:rFonts w:hint="eastAsia" w:ascii="仿宋_GB2312" w:hAnsi="方正仿宋_GB18030" w:eastAsia="仿宋_GB2312" w:cs="方正仿宋_GB18030"/>
                <w:b/>
                <w:bCs/>
                <w:szCs w:val="21"/>
                <w:lang w:val="en-US" w:eastAsia="zh-CN"/>
              </w:rPr>
              <w:t>2</w:t>
            </w:r>
            <w:r>
              <w:rPr>
                <w:rFonts w:hint="eastAsia" w:ascii="仿宋_GB2312" w:hAnsi="方正仿宋_GB18030" w:eastAsia="仿宋_GB2312" w:cs="方正仿宋_GB18030"/>
                <w:b/>
                <w:bCs/>
                <w:szCs w:val="21"/>
              </w:rPr>
              <w:t>.危险化学品全生命周期安全监管平台（二期）。</w:t>
            </w:r>
            <w:r>
              <w:rPr>
                <w:rFonts w:hint="eastAsia" w:ascii="仿宋_GB2312" w:hAnsi="方正仿宋_GB18030" w:eastAsia="仿宋_GB2312" w:cs="方正仿宋_GB18030"/>
                <w:szCs w:val="21"/>
              </w:rPr>
              <w:t>基于危化品“一企一品一码”全生命周期监管系统，完善危化品空天地一体化智能感知融合体系，推动各环节业务衔接管理与数据融合分析，构建危化品安全管理态势分析模型，探索“AI + 机器视觉”融合分析等应用。</w:t>
            </w:r>
          </w:p>
          <w:p>
            <w:pPr>
              <w:widowControl/>
              <w:rPr>
                <w:rFonts w:hint="eastAsia" w:ascii="仿宋_GB2312" w:hAnsi="方正仿宋_GB18030" w:eastAsia="仿宋_GB2312" w:cs="方正仿宋_GB18030"/>
                <w:color w:val="auto"/>
                <w:szCs w:val="21"/>
              </w:rPr>
            </w:pPr>
            <w:r>
              <w:rPr>
                <w:rFonts w:hint="eastAsia" w:ascii="仿宋_GB2312" w:hAnsi="方正仿宋_GB18030" w:eastAsia="仿宋_GB2312" w:cs="方正仿宋_GB18030"/>
                <w:b/>
                <w:bCs/>
                <w:color w:val="auto"/>
                <w:szCs w:val="21"/>
              </w:rPr>
              <w:t>2</w:t>
            </w:r>
            <w:r>
              <w:rPr>
                <w:rFonts w:hint="eastAsia" w:ascii="仿宋_GB2312" w:hAnsi="方正仿宋_GB18030" w:eastAsia="仿宋_GB2312" w:cs="方正仿宋_GB18030"/>
                <w:b/>
                <w:bCs/>
                <w:color w:val="auto"/>
                <w:szCs w:val="21"/>
                <w:lang w:val="en-US" w:eastAsia="zh-CN"/>
              </w:rPr>
              <w:t>3</w:t>
            </w:r>
            <w:r>
              <w:rPr>
                <w:rFonts w:hint="eastAsia" w:ascii="仿宋_GB2312" w:hAnsi="方正仿宋_GB18030" w:eastAsia="仿宋_GB2312" w:cs="方正仿宋_GB18030"/>
                <w:b/>
                <w:bCs/>
                <w:color w:val="auto"/>
                <w:szCs w:val="21"/>
              </w:rPr>
              <w:t>.智能化装备测试和试点应用。</w:t>
            </w:r>
            <w:r>
              <w:rPr>
                <w:rFonts w:hint="eastAsia" w:ascii="仿宋_GB2312" w:hAnsi="方正仿宋_GB18030" w:eastAsia="仿宋_GB2312" w:cs="方正仿宋_GB18030"/>
                <w:color w:val="auto"/>
                <w:szCs w:val="21"/>
              </w:rPr>
              <w:t>实施水域救援场景智能化装备应用测试，聚焦水域救援（8类细分场景）开展实战化比测。开展智能眼镜及配套系统专项比测，聚焦应急管理企业巡检、隐患识别等典型场景，探索智能眼镜在应急管理领域的示范应用路径。针对高风险社区典型灾害场景，开展“小快轻智”装备实战化测试，推动基层应急装备标准化配置与人装协同能力提升。</w:t>
            </w:r>
          </w:p>
          <w:p>
            <w:pPr>
              <w:widowControl/>
              <w:rPr>
                <w:rFonts w:hint="eastAsia" w:ascii="仿宋_GB2312" w:hAnsi="方正仿宋_GB18030" w:eastAsia="仿宋_GB2312" w:cs="方正仿宋_GB18030"/>
                <w:color w:val="auto"/>
                <w:szCs w:val="21"/>
                <w:lang w:bidi="ar"/>
              </w:rPr>
            </w:pPr>
            <w:r>
              <w:rPr>
                <w:rFonts w:hint="eastAsia" w:ascii="仿宋_GB2312" w:hAnsi="方正仿宋_GB18030" w:eastAsia="仿宋_GB2312" w:cs="方正仿宋_GB18030"/>
                <w:b/>
                <w:bCs/>
                <w:color w:val="auto"/>
                <w:szCs w:val="21"/>
                <w:lang w:bidi="ar"/>
              </w:rPr>
              <w:t>2</w:t>
            </w:r>
            <w:r>
              <w:rPr>
                <w:rFonts w:hint="eastAsia" w:ascii="仿宋_GB2312" w:hAnsi="方正仿宋_GB18030" w:eastAsia="仿宋_GB2312" w:cs="方正仿宋_GB18030"/>
                <w:b/>
                <w:bCs/>
                <w:color w:val="auto"/>
                <w:szCs w:val="21"/>
                <w:lang w:val="en-US" w:eastAsia="zh-CN" w:bidi="ar"/>
              </w:rPr>
              <w:t>4</w:t>
            </w:r>
            <w:r>
              <w:rPr>
                <w:rFonts w:hint="eastAsia" w:ascii="仿宋_GB2312" w:hAnsi="方正仿宋_GB18030" w:eastAsia="仿宋_GB2312" w:cs="方正仿宋_GB18030"/>
                <w:b/>
                <w:bCs/>
                <w:color w:val="auto"/>
                <w:szCs w:val="21"/>
                <w:lang w:bidi="ar"/>
              </w:rPr>
              <w:t>.370MHz应急专用数字集群（ePDT）网建设。</w:t>
            </w:r>
            <w:r>
              <w:rPr>
                <w:rFonts w:hint="eastAsia" w:ascii="仿宋_GB2312" w:hAnsi="方正仿宋_GB18030" w:eastAsia="仿宋_GB2312" w:cs="方正仿宋_GB18030"/>
                <w:color w:val="auto"/>
                <w:szCs w:val="21"/>
                <w:lang w:bidi="ar"/>
              </w:rPr>
              <w:t>建设1套370MHz集群核心网</w:t>
            </w:r>
            <w:r>
              <w:rPr>
                <w:rFonts w:hint="eastAsia" w:ascii="仿宋_GB2312" w:hAnsi="方正仿宋_GB18030" w:eastAsia="仿宋_GB2312" w:cs="方正仿宋_GB18030"/>
                <w:szCs w:val="21"/>
                <w:lang w:bidi="ar"/>
              </w:rPr>
              <w:t>、</w:t>
            </w:r>
            <w:r>
              <w:rPr>
                <w:rFonts w:hint="eastAsia" w:ascii="仿宋_GB2312" w:hAnsi="仿宋_GB2312" w:eastAsia="仿宋_GB2312" w:cs="仿宋_GB2312"/>
                <w:sz w:val="21"/>
                <w:szCs w:val="21"/>
                <w:lang w:bidi="ar"/>
              </w:rPr>
              <w:t>1套公网集群对讲平台，部署180套2载频固定基站、11套3载频移动基站，</w:t>
            </w:r>
            <w:r>
              <w:rPr>
                <w:rFonts w:hint="eastAsia" w:ascii="仿宋_GB2312" w:hAnsi="方正仿宋_GB18030" w:eastAsia="仿宋_GB2312" w:cs="方正仿宋_GB18030"/>
                <w:color w:val="auto"/>
                <w:szCs w:val="21"/>
                <w:lang w:bidi="ar"/>
              </w:rPr>
              <w:t>全面实现深圳市全域应急370MHz无线通信信号覆盖。</w:t>
            </w:r>
          </w:p>
          <w:p>
            <w:pPr>
              <w:widowControl/>
              <w:rPr>
                <w:rFonts w:hint="eastAsia" w:ascii="方正仿宋_GB18030" w:hAnsi="方正仿宋_GB18030" w:eastAsia="方正仿宋_GB18030" w:cs="方正仿宋_GB18030"/>
                <w:szCs w:val="21"/>
              </w:rPr>
            </w:pPr>
            <w:r>
              <w:rPr>
                <w:rFonts w:hint="eastAsia" w:ascii="仿宋_GB2312" w:hAnsi="方正仿宋_GB18030" w:eastAsia="仿宋_GB2312" w:cs="方正仿宋_GB18030"/>
                <w:b/>
                <w:bCs/>
                <w:szCs w:val="21"/>
                <w:lang w:bidi="ar"/>
              </w:rPr>
              <w:t>2</w:t>
            </w:r>
            <w:r>
              <w:rPr>
                <w:rFonts w:hint="eastAsia" w:ascii="仿宋_GB2312" w:hAnsi="方正仿宋_GB18030" w:eastAsia="仿宋_GB2312" w:cs="方正仿宋_GB18030"/>
                <w:b/>
                <w:bCs/>
                <w:szCs w:val="21"/>
                <w:lang w:val="en-US" w:eastAsia="zh-CN" w:bidi="ar"/>
              </w:rPr>
              <w:t>5</w:t>
            </w:r>
            <w:r>
              <w:rPr>
                <w:rFonts w:hint="eastAsia" w:ascii="仿宋_GB2312" w:hAnsi="方正仿宋_GB18030" w:eastAsia="仿宋_GB2312" w:cs="方正仿宋_GB18030"/>
                <w:b/>
                <w:bCs/>
                <w:szCs w:val="21"/>
                <w:lang w:bidi="ar"/>
              </w:rPr>
              <w:t>.市应急指挥部物理场所智能化升级。</w:t>
            </w:r>
            <w:r>
              <w:rPr>
                <w:rFonts w:hint="eastAsia" w:ascii="仿宋_GB2312" w:hAnsi="方正仿宋_GB18030" w:eastAsia="仿宋_GB2312" w:cs="方正仿宋_GB18030"/>
                <w:szCs w:val="21"/>
                <w:lang w:bidi="ar"/>
              </w:rPr>
              <w:t>建设高性能、可扩展的AI智能应用算力支撑体系；增配不间断信号下行码流信号源的卫星信号接收设备；升级改造制冷系统，实现更节能高效、稳定可靠；扩容改造UPS不间断供电系统；建设指挥大厅设备设施分布式智联管控平台。</w:t>
            </w:r>
          </w:p>
        </w:tc>
      </w:tr>
      <w:bookmarkEnd w:id="44"/>
    </w:tbl>
    <w:p>
      <w:pPr>
        <w:widowControl/>
        <w:spacing w:line="560" w:lineRule="exact"/>
        <w:ind w:firstLine="640" w:firstLineChars="200"/>
        <w:outlineLvl w:val="1"/>
        <w:rPr>
          <w:rFonts w:hint="eastAsia" w:ascii="楷体_GB2312" w:hAnsi="黑体" w:eastAsia="楷体_GB2312" w:cs="黑体"/>
          <w:sz w:val="32"/>
          <w:szCs w:val="32"/>
        </w:rPr>
      </w:pPr>
      <w:bookmarkStart w:id="49" w:name="_Toc750491290"/>
      <w:bookmarkStart w:id="50" w:name="_Toc27898"/>
      <w:bookmarkStart w:id="51" w:name="_Toc878450588"/>
      <w:r>
        <w:rPr>
          <w:rFonts w:hint="eastAsia" w:ascii="楷体_GB2312" w:hAnsi="黑体" w:eastAsia="楷体_GB2312" w:cs="黑体"/>
          <w:sz w:val="32"/>
          <w:szCs w:val="32"/>
        </w:rPr>
        <w:t>（六）完善社会共治体系，提升群防群治能力</w:t>
      </w:r>
      <w:bookmarkEnd w:id="49"/>
      <w:bookmarkEnd w:id="50"/>
      <w:bookmarkEnd w:id="51"/>
    </w:p>
    <w:p>
      <w:pPr>
        <w:widowControl/>
        <w:spacing w:line="560" w:lineRule="exact"/>
        <w:ind w:firstLine="642" w:firstLineChars="200"/>
        <w:outlineLvl w:val="2"/>
        <w:rPr>
          <w:rFonts w:hint="eastAsia" w:ascii="仿宋_GB2312" w:hAnsi="仿宋_GB2312" w:eastAsia="仿宋_GB2312" w:cs="仿宋_GB2312"/>
          <w:sz w:val="32"/>
          <w:szCs w:val="32"/>
        </w:rPr>
      </w:pPr>
      <w:bookmarkStart w:id="52" w:name="OLE_LINK10"/>
      <w:r>
        <w:rPr>
          <w:rFonts w:hint="eastAsia" w:ascii="仿宋_GB2312" w:hAnsi="黑体" w:eastAsia="仿宋_GB2312" w:cs="黑体"/>
          <w:b/>
          <w:sz w:val="32"/>
          <w:szCs w:val="32"/>
        </w:rPr>
        <w:t>24.强化应急安全文化培育</w:t>
      </w:r>
      <w:r>
        <w:rPr>
          <w:rFonts w:hint="eastAsia" w:ascii="仿宋_GB2312" w:hAnsi="Calibri" w:eastAsia="仿宋_GB2312" w:cs="Calibri"/>
          <w:sz w:val="32"/>
          <w:szCs w:val="32"/>
        </w:rPr>
        <w:t>。</w:t>
      </w:r>
      <w:r>
        <w:rPr>
          <w:rFonts w:ascii="仿宋_GB2312" w:hAnsi="Calibri" w:eastAsia="仿宋_GB2312" w:cs="Calibri"/>
          <w:sz w:val="32"/>
          <w:szCs w:val="32"/>
        </w:rPr>
        <w:t>优化全民</w:t>
      </w:r>
      <w:r>
        <w:rPr>
          <w:rFonts w:hint="eastAsia" w:ascii="仿宋_GB2312" w:hAnsi="Calibri" w:eastAsia="仿宋_GB2312" w:cs="Calibri"/>
          <w:sz w:val="32"/>
          <w:szCs w:val="32"/>
        </w:rPr>
        <w:t>安全应急</w:t>
      </w:r>
      <w:r>
        <w:rPr>
          <w:rFonts w:ascii="仿宋_GB2312" w:hAnsi="Calibri" w:eastAsia="仿宋_GB2312" w:cs="Calibri"/>
          <w:sz w:val="32"/>
          <w:szCs w:val="32"/>
        </w:rPr>
        <w:t>宣传科普教育，丰富宣教公共产品，</w:t>
      </w:r>
      <w:r>
        <w:rPr>
          <w:rFonts w:hint="eastAsia" w:ascii="仿宋_GB2312" w:hAnsi="仿宋_GB2312" w:eastAsia="仿宋_GB2312" w:cs="仿宋_GB2312"/>
          <w:sz w:val="32"/>
          <w:szCs w:val="32"/>
        </w:rPr>
        <w:t>构建分层分类、精准适配的全民安全教育培训知识体系。</w:t>
      </w:r>
      <w:r>
        <w:rPr>
          <w:rFonts w:hint="eastAsia" w:ascii="仿宋_GB2312" w:hAnsi="仿宋_GB2312" w:eastAsia="仿宋_GB2312" w:cs="仿宋_GB2312"/>
          <w:color w:val="000000"/>
          <w:kern w:val="0"/>
          <w:sz w:val="32"/>
          <w:szCs w:val="32"/>
          <w:lang w:bidi="ar"/>
        </w:rPr>
        <w:t>坚持数字赋能，</w:t>
      </w:r>
      <w:r>
        <w:rPr>
          <w:rFonts w:hint="eastAsia" w:ascii="仿宋_GB2312" w:hAnsi="仿宋_GB2312" w:eastAsia="仿宋_GB2312" w:cs="仿宋_GB2312"/>
          <w:sz w:val="32"/>
          <w:szCs w:val="32"/>
        </w:rPr>
        <w:t>统筹</w:t>
      </w:r>
      <w:r>
        <w:rPr>
          <w:rFonts w:ascii="仿宋_GB2312" w:hAnsi="Calibri" w:eastAsia="仿宋_GB2312" w:cs="Calibri"/>
          <w:sz w:val="32"/>
          <w:szCs w:val="32"/>
        </w:rPr>
        <w:t>整合线上线下科普资源，</w:t>
      </w:r>
      <w:r>
        <w:rPr>
          <w:rFonts w:hint="eastAsia" w:ascii="仿宋_GB2312" w:hAnsi="Calibri" w:eastAsia="仿宋_GB2312" w:cs="Calibri"/>
          <w:sz w:val="32"/>
          <w:szCs w:val="32"/>
        </w:rPr>
        <w:t>打造</w:t>
      </w:r>
      <w:r>
        <w:rPr>
          <w:rFonts w:ascii="仿宋_GB2312" w:hAnsi="Calibri" w:eastAsia="仿宋_GB2312" w:cs="Calibri"/>
          <w:sz w:val="32"/>
          <w:szCs w:val="32"/>
        </w:rPr>
        <w:t>沉浸式安全科普体验场景，</w:t>
      </w:r>
      <w:r>
        <w:rPr>
          <w:rFonts w:hint="eastAsia" w:ascii="仿宋_GB2312" w:hAnsi="Calibri" w:eastAsia="仿宋_GB2312" w:cs="Calibri"/>
          <w:sz w:val="32"/>
          <w:szCs w:val="32"/>
        </w:rPr>
        <w:t>构建</w:t>
      </w:r>
      <w:r>
        <w:rPr>
          <w:rFonts w:hint="eastAsia" w:ascii="仿宋_GB2312" w:hAnsi="仿宋_GB2312" w:eastAsia="仿宋_GB2312" w:cs="仿宋_GB2312"/>
          <w:color w:val="000000"/>
          <w:kern w:val="0"/>
          <w:sz w:val="32"/>
          <w:szCs w:val="32"/>
          <w:lang w:bidi="ar"/>
        </w:rPr>
        <w:t>深圳应急科普品牌矩阵</w:t>
      </w:r>
      <w:r>
        <w:rPr>
          <w:rFonts w:ascii="仿宋_GB2312" w:hAnsi="Calibri" w:eastAsia="仿宋_GB2312" w:cs="Calibri"/>
          <w:sz w:val="32"/>
          <w:szCs w:val="32"/>
        </w:rPr>
        <w:t>，常态化开展群众性</w:t>
      </w:r>
      <w:r>
        <w:rPr>
          <w:rFonts w:hint="eastAsia" w:ascii="仿宋_GB2312" w:hAnsi="Calibri" w:eastAsia="仿宋_GB2312" w:cs="Calibri"/>
          <w:sz w:val="32"/>
          <w:szCs w:val="32"/>
        </w:rPr>
        <w:t>安全</w:t>
      </w:r>
      <w:r>
        <w:rPr>
          <w:rFonts w:ascii="仿宋_GB2312" w:hAnsi="Calibri" w:eastAsia="仿宋_GB2312" w:cs="Calibri"/>
          <w:sz w:val="32"/>
          <w:szCs w:val="32"/>
        </w:rPr>
        <w:t>宣教活动。</w:t>
      </w:r>
      <w:r>
        <w:rPr>
          <w:rFonts w:hint="eastAsia" w:ascii="仿宋_GB2312" w:hAnsi="Calibri" w:eastAsia="仿宋_GB2312" w:cs="Calibri"/>
          <w:b w:val="0"/>
          <w:bCs w:val="0"/>
          <w:sz w:val="32"/>
          <w:szCs w:val="32"/>
        </w:rPr>
        <w:t>加快</w:t>
      </w:r>
      <w:r>
        <w:rPr>
          <w:rFonts w:ascii="仿宋_GB2312" w:hAnsi="Calibri" w:eastAsia="仿宋_GB2312" w:cs="Calibri"/>
          <w:b w:val="0"/>
          <w:bCs w:val="0"/>
          <w:sz w:val="32"/>
          <w:szCs w:val="32"/>
        </w:rPr>
        <w:t>应急综合救援和科普教育培训基地建成投</w:t>
      </w:r>
      <w:r>
        <w:rPr>
          <w:rFonts w:hint="eastAsia" w:ascii="仿宋_GB2312" w:hAnsi="Calibri" w:eastAsia="仿宋_GB2312" w:cs="Calibri"/>
          <w:b w:val="0"/>
          <w:bCs w:val="0"/>
          <w:sz w:val="32"/>
          <w:szCs w:val="32"/>
        </w:rPr>
        <w:t>运。</w:t>
      </w:r>
      <w:r>
        <w:rPr>
          <w:rFonts w:hint="eastAsia" w:ascii="仿宋_GB2312" w:hAnsi="仿宋_GB2312" w:eastAsia="仿宋_GB2312" w:cs="仿宋_GB2312"/>
          <w:sz w:val="32"/>
          <w:szCs w:val="32"/>
        </w:rPr>
        <w:t>强化从业人员安全技能培训考核，推动市级安全生产公共考试中心建设，打造数字化、智能化考评系统，优化布局“1+N”安全生产公共考试点网络。</w:t>
      </w:r>
      <w:bookmarkEnd w:id="52"/>
      <w:r>
        <w:rPr>
          <w:rFonts w:hint="eastAsia" w:ascii="仿宋_GB2312" w:hAnsi="仿宋_GB2312" w:eastAsia="仿宋_GB2312" w:cs="仿宋_GB2312"/>
          <w:sz w:val="32"/>
          <w:szCs w:val="32"/>
        </w:rPr>
        <w:t>深度挖掘鲜活案例与先进典型，讲好新时代应急管理“深圳故事”。加大主流媒体安全应急宣教产品投放力度，</w:t>
      </w:r>
      <w:r>
        <w:rPr>
          <w:rFonts w:hint="eastAsia" w:ascii="仿宋_GB2312" w:hAnsi="仿宋_GB2312" w:eastAsia="仿宋_GB2312" w:cs="仿宋_GB2312"/>
          <w:color w:val="000000"/>
          <w:kern w:val="0"/>
          <w:sz w:val="32"/>
          <w:szCs w:val="32"/>
          <w:lang w:bidi="ar"/>
        </w:rPr>
        <w:t>全面提升市民风险防范意识与自救互救能力</w:t>
      </w:r>
      <w:r>
        <w:rPr>
          <w:rFonts w:ascii="仿宋_GB2312" w:hAnsi="仿宋_GB2312" w:eastAsia="仿宋_GB2312" w:cs="仿宋_GB2312"/>
          <w:sz w:val="32"/>
          <w:szCs w:val="32"/>
        </w:rPr>
        <w:t>。</w:t>
      </w:r>
    </w:p>
    <w:p>
      <w:pPr>
        <w:widowControl/>
        <w:spacing w:line="560" w:lineRule="exact"/>
        <w:ind w:firstLine="642" w:firstLineChars="200"/>
        <w:outlineLvl w:val="2"/>
        <w:rPr>
          <w:rFonts w:ascii="仿宋_GB2312" w:hAnsi="Calibri" w:eastAsia="仿宋_GB2312" w:cs="Calibri"/>
          <w:sz w:val="32"/>
          <w:szCs w:val="32"/>
        </w:rPr>
      </w:pPr>
      <w:bookmarkStart w:id="53" w:name="OLE_LINK11"/>
      <w:r>
        <w:rPr>
          <w:rFonts w:hint="eastAsia" w:ascii="仿宋_GB2312" w:hAnsi="黑体" w:eastAsia="仿宋_GB2312" w:cs="黑体"/>
          <w:b/>
          <w:sz w:val="32"/>
          <w:szCs w:val="32"/>
        </w:rPr>
        <w:t>25.构建安全应急社会化专业服务体系</w:t>
      </w:r>
      <w:r>
        <w:rPr>
          <w:rFonts w:hint="eastAsia" w:ascii="仿宋_GB2312" w:hAnsi="Calibri" w:eastAsia="仿宋_GB2312" w:cs="Calibri"/>
          <w:sz w:val="32"/>
          <w:szCs w:val="32"/>
        </w:rPr>
        <w:t>。</w:t>
      </w:r>
      <w:r>
        <w:rPr>
          <w:rFonts w:hint="eastAsia" w:ascii="仿宋_GB2312" w:hAnsi="仿宋_GB2312" w:eastAsia="仿宋_GB2312" w:cs="仿宋_GB2312"/>
          <w:b w:val="0"/>
          <w:bCs/>
          <w:sz w:val="32"/>
          <w:szCs w:val="32"/>
        </w:rPr>
        <w:t>优化安全生产责任保险费率浮动激励与约束机制，引导</w:t>
      </w:r>
      <w:r>
        <w:rPr>
          <w:rFonts w:hint="eastAsia" w:ascii="仿宋_GB2312" w:hAnsi="Calibri" w:eastAsia="仿宋_GB2312" w:cs="Calibri"/>
          <w:b w:val="0"/>
          <w:bCs/>
          <w:sz w:val="32"/>
          <w:szCs w:val="32"/>
        </w:rPr>
        <w:t>专业技术服务机构参与承保企业安全管理和事故预防，助力投保企业持续提升本质安全水平。</w:t>
      </w:r>
      <w:r>
        <w:rPr>
          <w:rFonts w:hint="eastAsia" w:ascii="仿宋_GB2312" w:hAnsi="Calibri" w:eastAsia="仿宋_GB2312" w:cs="Calibri"/>
          <w:sz w:val="32"/>
          <w:szCs w:val="32"/>
        </w:rPr>
        <w:t>健全财政支持下的多层次巨灾风险分散机制。</w:t>
      </w:r>
      <w:r>
        <w:rPr>
          <w:rFonts w:hint="eastAsia" w:ascii="仿宋_GB2312" w:hAnsi="Calibri" w:eastAsia="仿宋_GB2312" w:cs="Calibri"/>
          <w:b w:val="0"/>
          <w:bCs w:val="0"/>
          <w:sz w:val="32"/>
          <w:szCs w:val="32"/>
        </w:rPr>
        <w:t>扩大普惠型家庭财产保险覆盖面。</w:t>
      </w:r>
      <w:r>
        <w:rPr>
          <w:rFonts w:hint="eastAsia" w:ascii="仿宋_GB2312" w:hAnsi="Calibri" w:eastAsia="仿宋_GB2312" w:cs="Calibri"/>
          <w:sz w:val="32"/>
          <w:szCs w:val="32"/>
        </w:rPr>
        <w:t>鼓励保险机构开发灾害商业保险产品，拓宽灾害保险保障覆盖面。</w:t>
      </w:r>
      <w:r>
        <w:rPr>
          <w:rFonts w:hint="eastAsia" w:ascii="仿宋_GB2312" w:hAnsi="仿宋_GB2312" w:eastAsia="仿宋_GB2312" w:cs="仿宋_GB2312"/>
          <w:sz w:val="32"/>
          <w:szCs w:val="32"/>
        </w:rPr>
        <w:t>推进安全应急服务机构智能化、精细化管理平台建设，探索构建机构服务行为全流程监督机制，强化执业全过程与服务成果质量管控。</w:t>
      </w:r>
    </w:p>
    <w:bookmarkEnd w:id="53"/>
    <w:p>
      <w:pPr>
        <w:widowControl/>
        <w:spacing w:line="560" w:lineRule="exact"/>
        <w:ind w:firstLine="642" w:firstLineChars="200"/>
        <w:outlineLvl w:val="2"/>
        <w:rPr>
          <w:rFonts w:hint="eastAsia" w:ascii="仿宋_GB2312" w:hAnsi="黑体" w:eastAsia="仿宋_GB2312" w:cs="黑体"/>
          <w:sz w:val="32"/>
          <w:szCs w:val="32"/>
        </w:rPr>
      </w:pPr>
      <w:r>
        <w:rPr>
          <w:rFonts w:hint="eastAsia" w:ascii="仿宋_GB2312" w:hAnsi="黑体" w:eastAsia="仿宋_GB2312" w:cs="黑体"/>
          <w:b/>
          <w:sz w:val="32"/>
          <w:szCs w:val="32"/>
        </w:rPr>
        <w:t>26.完善人才平台支撑</w:t>
      </w:r>
      <w:r>
        <w:rPr>
          <w:rFonts w:hint="eastAsia" w:ascii="仿宋_GB2312" w:hAnsi="黑体" w:eastAsia="仿宋_GB2312" w:cs="黑体"/>
          <w:sz w:val="32"/>
          <w:szCs w:val="32"/>
        </w:rPr>
        <w:t>。推进应急管理大学南方基地等人才培养平台建设。实施安全应急领军人才、技术带头人专项培育计划，</w:t>
      </w:r>
      <w:r>
        <w:rPr>
          <w:rFonts w:hint="eastAsia" w:ascii="仿宋_GB2312" w:hAnsi="仿宋_GB2312" w:eastAsia="仿宋_GB2312" w:cs="仿宋_GB2312"/>
          <w:sz w:val="32"/>
          <w:szCs w:val="32"/>
        </w:rPr>
        <w:t>理顺人才引进、联合培养制度，推动搭建粤港澳大湾区国际化应急人才交流协作平台，探索区域人才互通共享机制</w:t>
      </w:r>
      <w:r>
        <w:rPr>
          <w:rFonts w:hint="eastAsia" w:ascii="仿宋_GB2312" w:hAnsi="黑体" w:eastAsia="仿宋_GB2312" w:cs="黑体"/>
          <w:sz w:val="32"/>
          <w:szCs w:val="32"/>
        </w:rPr>
        <w:t>。</w:t>
      </w:r>
      <w:bookmarkStart w:id="54" w:name="OLE_LINK2"/>
      <w:r>
        <w:rPr>
          <w:rFonts w:hint="eastAsia" w:ascii="仿宋_GB2312" w:hAnsi="黑体" w:eastAsia="仿宋_GB2312" w:cs="黑体"/>
          <w:sz w:val="32"/>
          <w:szCs w:val="32"/>
        </w:rPr>
        <w:t>深化与国际先进城市科研协作、学术交流、标准衔接，持续提升应急管理国际化水平。</w:t>
      </w:r>
      <w:bookmarkEnd w:id="21"/>
    </w:p>
    <w:tbl>
      <w:tblPr>
        <w:tblStyle w:val="26"/>
        <w:tblW w:w="0" w:type="auto"/>
        <w:tblInd w:w="0" w:type="dxa"/>
        <w:tblLayout w:type="autofit"/>
        <w:tblCellMar>
          <w:top w:w="0" w:type="dxa"/>
          <w:left w:w="108" w:type="dxa"/>
          <w:bottom w:w="0" w:type="dxa"/>
          <w:right w:w="108" w:type="dxa"/>
        </w:tblCellMar>
      </w:tblPr>
      <w:tblGrid>
        <w:gridCol w:w="8952"/>
      </w:tblGrid>
      <w:tr>
        <w:tblPrEx>
          <w:tblCellMar>
            <w:top w:w="0" w:type="dxa"/>
            <w:left w:w="108" w:type="dxa"/>
            <w:bottom w:w="0" w:type="dxa"/>
            <w:right w:w="108" w:type="dxa"/>
          </w:tblCellMar>
        </w:tblPrEx>
        <w:trPr>
          <w:trHeight w:val="57" w:hRule="atLeast"/>
          <w:tblHeader/>
        </w:trPr>
        <w:tc>
          <w:tcPr>
            <w:tcW w:w="0" w:type="auto"/>
            <w:tcBorders>
              <w:top w:val="single" w:color="000000" w:sz="4" w:space="0"/>
              <w:left w:val="single" w:color="000000" w:sz="4" w:space="0"/>
              <w:bottom w:val="single" w:color="000000" w:sz="4" w:space="0"/>
              <w:right w:val="single" w:color="000000" w:sz="4" w:space="0"/>
            </w:tcBorders>
            <w:tcMar>
              <w:top w:w="-1" w:type="dxa"/>
              <w:left w:w="-1" w:type="dxa"/>
              <w:bottom w:w="-1" w:type="dxa"/>
              <w:right w:w="-1" w:type="dxa"/>
            </w:tcMar>
            <w:vAlign w:val="center"/>
          </w:tcPr>
          <w:p>
            <w:pPr>
              <w:widowControl/>
              <w:jc w:val="center"/>
              <w:textAlignment w:val="center"/>
              <w:rPr>
                <w:rFonts w:hint="eastAsia" w:ascii="仿宋_GB2312" w:hAnsi="方正仿宋_GB18030" w:eastAsia="仿宋_GB2312" w:cs="方正仿宋_GB18030"/>
                <w:b/>
                <w:szCs w:val="21"/>
                <w:lang w:bidi="ar"/>
              </w:rPr>
            </w:pPr>
            <w:r>
              <w:rPr>
                <w:rFonts w:hint="eastAsia" w:ascii="仿宋_GB2312" w:hAnsi="方正仿宋_GB18030" w:eastAsia="仿宋_GB2312" w:cs="方正仿宋_GB18030"/>
                <w:b/>
                <w:szCs w:val="21"/>
                <w:lang w:bidi="ar"/>
              </w:rPr>
              <w:t>专栏5 社会共治能力提升工程</w:t>
            </w:r>
          </w:p>
        </w:tc>
      </w:tr>
      <w:tr>
        <w:tblPrEx>
          <w:tblCellMar>
            <w:top w:w="0" w:type="dxa"/>
            <w:left w:w="108" w:type="dxa"/>
            <w:bottom w:w="0" w:type="dxa"/>
            <w:right w:w="108" w:type="dxa"/>
          </w:tblCellMar>
        </w:tblPrEx>
        <w:trPr>
          <w:trHeight w:val="1355" w:hRule="atLeast"/>
          <w:tblHeader/>
        </w:trPr>
        <w:tc>
          <w:tcPr>
            <w:tcW w:w="0" w:type="auto"/>
            <w:tcBorders>
              <w:top w:val="single" w:color="000000" w:sz="4" w:space="0"/>
              <w:left w:val="single" w:color="000000" w:sz="4" w:space="0"/>
              <w:bottom w:val="single" w:color="000000" w:sz="4" w:space="0"/>
              <w:right w:val="single" w:color="000000" w:sz="4" w:space="0"/>
            </w:tcBorders>
            <w:tcMar>
              <w:top w:w="-1" w:type="dxa"/>
              <w:left w:w="-1" w:type="dxa"/>
              <w:bottom w:w="-1" w:type="dxa"/>
              <w:right w:w="-1" w:type="dxa"/>
            </w:tcMar>
          </w:tcPr>
          <w:p>
            <w:pPr>
              <w:widowControl/>
              <w:rPr>
                <w:rFonts w:hint="eastAsia" w:ascii="仿宋_GB2312" w:hAnsi="方正仿宋_GB18030" w:eastAsia="仿宋_GB2312" w:cs="方正仿宋_GB18030"/>
                <w:color w:val="auto"/>
                <w:szCs w:val="21"/>
              </w:rPr>
            </w:pPr>
            <w:r>
              <w:rPr>
                <w:rFonts w:hint="eastAsia" w:ascii="仿宋_GB2312" w:hAnsi="方正仿宋_GB18030" w:eastAsia="仿宋_GB2312" w:cs="方正仿宋_GB18030"/>
                <w:b/>
                <w:bCs/>
                <w:color w:val="auto"/>
                <w:szCs w:val="21"/>
              </w:rPr>
              <w:t>2</w:t>
            </w:r>
            <w:r>
              <w:rPr>
                <w:rFonts w:hint="eastAsia" w:ascii="仿宋_GB2312" w:hAnsi="方正仿宋_GB18030" w:eastAsia="仿宋_GB2312" w:cs="方正仿宋_GB18030"/>
                <w:b/>
                <w:bCs/>
                <w:color w:val="auto"/>
                <w:szCs w:val="21"/>
                <w:lang w:val="en-US" w:eastAsia="zh-CN"/>
              </w:rPr>
              <w:t>6</w:t>
            </w:r>
            <w:r>
              <w:rPr>
                <w:rFonts w:hint="eastAsia" w:ascii="仿宋_GB2312" w:hAnsi="方正仿宋_GB18030" w:eastAsia="仿宋_GB2312" w:cs="方正仿宋_GB18030"/>
                <w:b/>
                <w:bCs/>
                <w:color w:val="auto"/>
                <w:szCs w:val="21"/>
              </w:rPr>
              <w:t>.深圳市应急救援和科普教育基地</w:t>
            </w:r>
            <w:r>
              <w:rPr>
                <w:rFonts w:hint="eastAsia" w:ascii="仿宋_GB2312" w:hAnsi="方正仿宋_GB18030" w:eastAsia="仿宋_GB2312" w:cs="方正仿宋_GB18030"/>
                <w:b/>
                <w:bCs/>
                <w:color w:val="auto"/>
                <w:szCs w:val="21"/>
                <w:lang w:eastAsia="zh-CN"/>
              </w:rPr>
              <w:t>（深港青少年应急安全教育基地）</w:t>
            </w:r>
            <w:r>
              <w:rPr>
                <w:rFonts w:hint="eastAsia" w:ascii="仿宋_GB2312" w:hAnsi="方正仿宋_GB18030" w:eastAsia="仿宋_GB2312" w:cs="方正仿宋_GB18030"/>
                <w:b/>
                <w:bCs/>
                <w:color w:val="auto"/>
                <w:szCs w:val="21"/>
              </w:rPr>
              <w:t>。</w:t>
            </w:r>
            <w:r>
              <w:rPr>
                <w:rFonts w:hint="eastAsia" w:ascii="仿宋_GB2312" w:hAnsi="方正仿宋_GB18030" w:eastAsia="仿宋_GB2312" w:cs="方正仿宋_GB18030"/>
                <w:color w:val="auto"/>
                <w:szCs w:val="21"/>
              </w:rPr>
              <w:t>建设集成应急物资储备、应急救援队伍训练、宣传教育多功能为一体的综合救援和科普教育基地，打造集“实战训练+安全科普教育+物资装备储备和应急科技产业产品展陈”于一体的国家级应急创新平台，形成“教育链-产业链-创新链”三链融合的生态体系。</w:t>
            </w:r>
          </w:p>
          <w:p>
            <w:pPr>
              <w:widowControl/>
              <w:rPr>
                <w:rFonts w:hint="eastAsia" w:ascii="方正仿宋_GB18030" w:hAnsi="方正仿宋_GB18030" w:eastAsia="方正仿宋_GB18030" w:cs="方正仿宋_GB18030"/>
                <w:szCs w:val="21"/>
              </w:rPr>
            </w:pPr>
            <w:r>
              <w:rPr>
                <w:rFonts w:hint="eastAsia" w:ascii="仿宋_GB2312" w:hAnsi="方正仿宋_GB18030" w:eastAsia="仿宋_GB2312" w:cs="方正仿宋_GB18030"/>
                <w:b/>
                <w:bCs/>
                <w:szCs w:val="21"/>
                <w:lang w:bidi="ar"/>
              </w:rPr>
              <w:t>2</w:t>
            </w:r>
            <w:r>
              <w:rPr>
                <w:rFonts w:hint="eastAsia" w:ascii="仿宋_GB2312" w:hAnsi="方正仿宋_GB18030" w:eastAsia="仿宋_GB2312" w:cs="方正仿宋_GB18030"/>
                <w:b/>
                <w:bCs/>
                <w:szCs w:val="21"/>
                <w:lang w:val="en-US" w:eastAsia="zh-CN" w:bidi="ar"/>
              </w:rPr>
              <w:t>7</w:t>
            </w:r>
            <w:r>
              <w:rPr>
                <w:rFonts w:hint="eastAsia" w:ascii="仿宋_GB2312" w:hAnsi="方正仿宋_GB18030" w:eastAsia="仿宋_GB2312" w:cs="方正仿宋_GB18030"/>
                <w:b/>
                <w:bCs/>
                <w:szCs w:val="21"/>
                <w:lang w:bidi="ar"/>
              </w:rPr>
              <w:t>.深圳市安全生产公共考试中心。</w:t>
            </w:r>
            <w:r>
              <w:rPr>
                <w:rFonts w:hint="eastAsia" w:ascii="仿宋_GB2312" w:hAnsi="方正仿宋_GB18030" w:eastAsia="仿宋_GB2312" w:cs="方正仿宋_GB18030"/>
                <w:szCs w:val="21"/>
                <w:lang w:bidi="ar"/>
              </w:rPr>
              <w:t>依托当前在用的市安全教育基地建设安全生产公共考试中心，打造数字化、智能化考评系统，实现特种作业操作证等资格证书“即考即发”一站式服务。</w:t>
            </w:r>
            <w:r>
              <w:rPr>
                <w:rFonts w:hint="eastAsia" w:ascii="仿宋_GB2312" w:hAnsi="方正仿宋_GB18030" w:eastAsia="仿宋_GB2312" w:cs="方正仿宋_GB18030"/>
                <w:szCs w:val="21"/>
              </w:rPr>
              <w:tab/>
            </w:r>
            <w:r>
              <w:rPr>
                <w:rFonts w:hint="eastAsia" w:ascii="方正仿宋_GB18030" w:hAnsi="方正仿宋_GB18030" w:eastAsia="方正仿宋_GB18030" w:cs="方正仿宋_GB18030"/>
                <w:szCs w:val="21"/>
              </w:rPr>
              <w:t xml:space="preserve"> </w:t>
            </w:r>
          </w:p>
        </w:tc>
      </w:tr>
      <w:bookmarkEnd w:id="54"/>
    </w:tbl>
    <w:p>
      <w:pPr>
        <w:pStyle w:val="2"/>
        <w:widowControl/>
        <w:overflowPunct w:val="0"/>
        <w:adjustRightInd w:val="0"/>
        <w:snapToGrid w:val="0"/>
        <w:spacing w:before="0" w:after="0" w:line="560" w:lineRule="exact"/>
        <w:ind w:firstLine="640" w:firstLineChars="200"/>
        <w:textAlignment w:val="baseline"/>
        <w:rPr>
          <w:rFonts w:ascii="Times New Roman" w:hAnsi="Times New Roman" w:eastAsia="黑体" w:cs="Arial"/>
          <w:snapToGrid w:val="0"/>
          <w:color w:val="000000"/>
          <w:kern w:val="44"/>
          <w:sz w:val="32"/>
          <w:szCs w:val="21"/>
        </w:rPr>
      </w:pPr>
      <w:bookmarkStart w:id="55" w:name="_Toc1636097719"/>
      <w:bookmarkStart w:id="56" w:name="_Toc8991"/>
      <w:bookmarkStart w:id="57" w:name="_Toc15640"/>
      <w:bookmarkStart w:id="58" w:name="_Toc27818"/>
      <w:bookmarkStart w:id="59" w:name="_Toc16614"/>
      <w:bookmarkStart w:id="60" w:name="_Toc16798"/>
      <w:bookmarkStart w:id="61" w:name="_Toc2004504387"/>
      <w:bookmarkStart w:id="62" w:name="_Toc25772"/>
      <w:bookmarkStart w:id="63" w:name="_Toc29067"/>
      <w:bookmarkStart w:id="64" w:name="_Toc14048"/>
      <w:r>
        <w:rPr>
          <w:rFonts w:hint="eastAsia" w:ascii="Times New Roman" w:hAnsi="Times New Roman" w:eastAsia="黑体" w:cs="Arial"/>
          <w:snapToGrid w:val="0"/>
          <w:color w:val="000000"/>
          <w:kern w:val="44"/>
          <w:sz w:val="32"/>
          <w:szCs w:val="21"/>
        </w:rPr>
        <w:t>三</w:t>
      </w:r>
      <w:r>
        <w:rPr>
          <w:rFonts w:ascii="Times New Roman" w:hAnsi="Times New Roman" w:eastAsia="黑体" w:cs="Arial"/>
          <w:snapToGrid w:val="0"/>
          <w:color w:val="000000"/>
          <w:kern w:val="44"/>
          <w:sz w:val="32"/>
          <w:szCs w:val="21"/>
        </w:rPr>
        <w:t>、保障措施</w:t>
      </w:r>
      <w:bookmarkEnd w:id="55"/>
      <w:bookmarkEnd w:id="56"/>
      <w:bookmarkEnd w:id="57"/>
      <w:bookmarkEnd w:id="58"/>
      <w:bookmarkEnd w:id="59"/>
      <w:bookmarkEnd w:id="60"/>
      <w:bookmarkEnd w:id="61"/>
      <w:bookmarkEnd w:id="62"/>
      <w:bookmarkEnd w:id="63"/>
      <w:bookmarkEnd w:id="64"/>
    </w:p>
    <w:p>
      <w:pPr>
        <w:widowControl/>
        <w:overflowPunct w:val="0"/>
        <w:adjustRightInd w:val="0"/>
        <w:snapToGrid w:val="0"/>
        <w:spacing w:line="560" w:lineRule="exact"/>
        <w:ind w:left="8" w:right="43" w:firstLine="640" w:firstLineChars="200"/>
        <w:textAlignment w:val="baseline"/>
        <w:rPr>
          <w:rFonts w:hint="eastAsia" w:ascii="仿宋_GB2312" w:hAnsi="楷体_GB2312" w:eastAsia="仿宋_GB2312" w:cs="仿宋_GB2312"/>
          <w:sz w:val="32"/>
          <w:szCs w:val="32"/>
          <w:lang w:bidi="ar"/>
        </w:rPr>
      </w:pPr>
      <w:bookmarkStart w:id="65" w:name="bookmark81"/>
      <w:bookmarkEnd w:id="65"/>
      <w:r>
        <w:rPr>
          <w:rFonts w:hint="eastAsia" w:ascii="Times New Roman" w:hAnsi="Times New Roman" w:eastAsia="仿宋_GB2312" w:cs="Arial"/>
          <w:snapToGrid w:val="0"/>
          <w:color w:val="000000"/>
          <w:kern w:val="0"/>
          <w:sz w:val="32"/>
          <w:szCs w:val="21"/>
        </w:rPr>
        <w:t>为保障规划落地落实，各级各单位需压实岗位职责、凝聚工作合力，强化人、财、物要素保障，抓实各项任务与重点项目。市应急管理局建立规划实施动态监督评估与闭环整改机制，常态化核查进度、整改短板，全方位保障规划目标任务圆满完成。</w:t>
      </w:r>
    </w:p>
    <w:p>
      <w:pPr>
        <w:pStyle w:val="12"/>
        <w:widowControl/>
        <w:rPr>
          <w:rFonts w:hint="eastAsia" w:ascii="仿宋_GB2312" w:hAnsi="楷体_GB2312" w:eastAsia="仿宋_GB2312" w:cs="仿宋_GB2312"/>
          <w:sz w:val="32"/>
          <w:szCs w:val="32"/>
          <w:lang w:bidi="ar"/>
        </w:rPr>
      </w:pPr>
    </w:p>
    <w:sectPr>
      <w:footerReference r:id="rId4" w:type="default"/>
      <w:pgSz w:w="11906" w:h="16838"/>
      <w:pgMar w:top="2098" w:right="1474" w:bottom="1984" w:left="1587" w:header="851" w:footer="992" w:gutter="0"/>
      <w:pgNumType w:start="1"/>
      <w:cols w:space="720" w:num="1"/>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等线 Light">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方正仿宋_GB18030">
    <w:altName w:val="方正仿宋_GBK"/>
    <w:panose1 w:val="00000000000000000000"/>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wps:txbx>
                    <wps:bodyPr vert="horz" wrap="none" lIns="0" tIns="0" rIns="0" bIns="0" anchor="t" anchorCtr="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4"/>
                        <w:szCs w:val="28"/>
                      </w:rPr>
                      <w:t>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4"/>
                        <w:szCs w:val="28"/>
                      </w:rPr>
                      <w:t>　</w:t>
                    </w:r>
                    <w:r>
                      <w:rPr>
                        <w:rFonts w:hint="eastAsia" w:ascii="宋体" w:hAnsi="宋体" w:eastAsia="宋体" w:cs="宋体"/>
                        <w:sz w:val="28"/>
                        <w:szCs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pPr>
        <w:pStyle w:val="20"/>
        <w:rPr>
          <w:rFonts w:hint="eastAsia" w:ascii="仿宋_GB2312" w:hAnsi="仿宋_GB2312" w:eastAsia="仿宋_GB2312" w:cs="仿宋_GB2312"/>
        </w:rPr>
      </w:pPr>
      <w:r>
        <w:rPr>
          <w:rStyle w:val="33"/>
        </w:rPr>
        <w:footnoteRef/>
      </w:r>
      <w:r>
        <w:t xml:space="preserve"> </w:t>
      </w:r>
      <w:r>
        <w:rPr>
          <w:rFonts w:hint="eastAsia" w:ascii="仿宋_GB2312" w:hAnsi="仿宋_GB2312" w:eastAsia="仿宋_GB2312" w:cs="仿宋_GB2312"/>
        </w:rPr>
        <w:t>双重管理：应急管理部门领导干部实行地方党委政府与上级应急管理部门双重管理、以地方为主的体制，地方任免应急管理部门负责人应当事先征求上级应急管理部门意见。</w:t>
      </w:r>
    </w:p>
  </w:footnote>
  <w:footnote w:id="1">
    <w:p>
      <w:pPr>
        <w:pStyle w:val="20"/>
        <w:rPr>
          <w:rFonts w:hint="eastAsia" w:ascii="仿宋_GB2312" w:hAnsi="仿宋_GB2312" w:eastAsia="仿宋_GB2312" w:cs="仿宋_GB2312"/>
        </w:rPr>
      </w:pPr>
      <w:r>
        <w:rPr>
          <w:rStyle w:val="33"/>
        </w:rPr>
        <w:footnoteRef/>
      </w:r>
      <w:r>
        <w:t xml:space="preserve"> </w:t>
      </w:r>
      <w:r>
        <w:rPr>
          <w:rFonts w:hint="eastAsia" w:ascii="仿宋_GB2312" w:hAnsi="仿宋_GB2312" w:eastAsia="仿宋_GB2312" w:cs="仿宋_GB2312"/>
        </w:rPr>
        <w:t>《广东省安全韧性城市建设行动方案（2026-2030）（征求意见稿）》</w:t>
      </w:r>
    </w:p>
  </w:footnote>
  <w:footnote w:id="2">
    <w:p>
      <w:pPr>
        <w:snapToGrid w:val="0"/>
        <w:jc w:val="left"/>
        <w:rPr>
          <w:rFonts w:hint="eastAsia" w:ascii="仿宋_GB2312" w:hAnsi="仿宋_GB2312" w:eastAsia="仿宋_GB2312" w:cs="仿宋_GB2312"/>
          <w:sz w:val="18"/>
          <w:szCs w:val="18"/>
          <w:highlight w:val="yellow"/>
        </w:rPr>
      </w:pPr>
      <w:r>
        <w:rPr>
          <w:rFonts w:hint="eastAsia" w:ascii="仿宋_GB2312" w:hAnsi="仿宋_GB2312" w:eastAsia="仿宋_GB2312" w:cs="仿宋_GB2312"/>
          <w:sz w:val="18"/>
          <w:szCs w:val="18"/>
          <w:vertAlign w:val="superscript"/>
        </w:rPr>
        <w:footnoteRef/>
      </w:r>
      <w:r>
        <w:rPr>
          <w:rFonts w:hint="eastAsia" w:ascii="仿宋_GB2312" w:hAnsi="仿宋_GB2312" w:eastAsia="仿宋_GB2312" w:cs="仿宋_GB2312"/>
          <w:sz w:val="18"/>
          <w:szCs w:val="18"/>
        </w:rPr>
        <w:t>“2+N+1”：2个部门（市发改委、市应急管理局）牵头，N个部门分类保障，1个系统落实任务。</w:t>
      </w:r>
    </w:p>
  </w:footnote>
  <w:footnote w:id="3">
    <w:p>
      <w:pPr>
        <w:pStyle w:val="20"/>
        <w:rPr>
          <w:rFonts w:hint="eastAsia" w:ascii="仿宋_GB2312" w:hAnsi="仿宋_GB2312" w:eastAsia="仿宋_GB2312" w:cs="仿宋_GB2312"/>
        </w:rPr>
      </w:pPr>
      <w:r>
        <w:rPr>
          <w:rStyle w:val="33"/>
          <w:rFonts w:hint="eastAsia" w:ascii="仿宋_GB2312" w:hAnsi="仿宋_GB2312" w:eastAsia="仿宋_GB2312" w:cs="仿宋_GB2312"/>
        </w:rPr>
        <w:footnoteRef/>
      </w:r>
      <w:r>
        <w:rPr>
          <w:rFonts w:hint="eastAsia" w:ascii="仿宋_GB2312" w:hAnsi="仿宋_GB2312" w:eastAsia="仿宋_GB2312" w:cs="仿宋_GB2312"/>
        </w:rPr>
        <w:t xml:space="preserve"> 三断：指断路、断网、断电三种基础设施同时中断的极端复合灾害状态。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8"/>
  <w:noPunctuationKerning w:val="1"/>
  <w:characterSpacingControl w:val="compressPunctuation"/>
  <w:footnotePr>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066"/>
    <w:rsid w:val="00007E2B"/>
    <w:rsid w:val="0001350C"/>
    <w:rsid w:val="00027B18"/>
    <w:rsid w:val="00041256"/>
    <w:rsid w:val="000460BF"/>
    <w:rsid w:val="00052996"/>
    <w:rsid w:val="000551BA"/>
    <w:rsid w:val="00057543"/>
    <w:rsid w:val="000662F5"/>
    <w:rsid w:val="00085A02"/>
    <w:rsid w:val="000A0120"/>
    <w:rsid w:val="000A5531"/>
    <w:rsid w:val="000D0244"/>
    <w:rsid w:val="000E1E56"/>
    <w:rsid w:val="000F020C"/>
    <w:rsid w:val="000F23DD"/>
    <w:rsid w:val="001033D0"/>
    <w:rsid w:val="00105C36"/>
    <w:rsid w:val="00114012"/>
    <w:rsid w:val="00122F79"/>
    <w:rsid w:val="00134871"/>
    <w:rsid w:val="00152A53"/>
    <w:rsid w:val="001621C2"/>
    <w:rsid w:val="00167B97"/>
    <w:rsid w:val="001724F1"/>
    <w:rsid w:val="00172A27"/>
    <w:rsid w:val="001815DE"/>
    <w:rsid w:val="001825E0"/>
    <w:rsid w:val="001A59EB"/>
    <w:rsid w:val="001A64C8"/>
    <w:rsid w:val="001C2E72"/>
    <w:rsid w:val="001C4CA5"/>
    <w:rsid w:val="001C7557"/>
    <w:rsid w:val="001D074A"/>
    <w:rsid w:val="001D44D9"/>
    <w:rsid w:val="001F2409"/>
    <w:rsid w:val="002504D1"/>
    <w:rsid w:val="00255BC7"/>
    <w:rsid w:val="00262E1F"/>
    <w:rsid w:val="00263DA6"/>
    <w:rsid w:val="002654DC"/>
    <w:rsid w:val="00271E0E"/>
    <w:rsid w:val="0029386D"/>
    <w:rsid w:val="002A1B44"/>
    <w:rsid w:val="002A35D5"/>
    <w:rsid w:val="002C474A"/>
    <w:rsid w:val="002D1D99"/>
    <w:rsid w:val="002F089A"/>
    <w:rsid w:val="0030402F"/>
    <w:rsid w:val="0030421C"/>
    <w:rsid w:val="00304EF6"/>
    <w:rsid w:val="00304F5A"/>
    <w:rsid w:val="00304FCD"/>
    <w:rsid w:val="00310421"/>
    <w:rsid w:val="00317385"/>
    <w:rsid w:val="00343295"/>
    <w:rsid w:val="00344B1C"/>
    <w:rsid w:val="0035062F"/>
    <w:rsid w:val="003831C9"/>
    <w:rsid w:val="0039142F"/>
    <w:rsid w:val="0039525F"/>
    <w:rsid w:val="00397BF7"/>
    <w:rsid w:val="003A3598"/>
    <w:rsid w:val="003C1AC8"/>
    <w:rsid w:val="003C2759"/>
    <w:rsid w:val="003C6170"/>
    <w:rsid w:val="003D74B6"/>
    <w:rsid w:val="003E1621"/>
    <w:rsid w:val="003E2429"/>
    <w:rsid w:val="003E3D22"/>
    <w:rsid w:val="003F048D"/>
    <w:rsid w:val="003F0735"/>
    <w:rsid w:val="00405BE0"/>
    <w:rsid w:val="004129A1"/>
    <w:rsid w:val="004252C6"/>
    <w:rsid w:val="00435E79"/>
    <w:rsid w:val="004617A9"/>
    <w:rsid w:val="004712D0"/>
    <w:rsid w:val="00471EBE"/>
    <w:rsid w:val="00480A88"/>
    <w:rsid w:val="00487578"/>
    <w:rsid w:val="0049735D"/>
    <w:rsid w:val="004B4378"/>
    <w:rsid w:val="004C016E"/>
    <w:rsid w:val="004C5985"/>
    <w:rsid w:val="004D22E0"/>
    <w:rsid w:val="004E046E"/>
    <w:rsid w:val="004E4A0F"/>
    <w:rsid w:val="004E5CEB"/>
    <w:rsid w:val="004E5F62"/>
    <w:rsid w:val="004F0D73"/>
    <w:rsid w:val="00510A6C"/>
    <w:rsid w:val="005116D5"/>
    <w:rsid w:val="00513CC6"/>
    <w:rsid w:val="005167A8"/>
    <w:rsid w:val="00520278"/>
    <w:rsid w:val="0052637C"/>
    <w:rsid w:val="00541D9A"/>
    <w:rsid w:val="00557E31"/>
    <w:rsid w:val="005601A4"/>
    <w:rsid w:val="005B744B"/>
    <w:rsid w:val="005C16BA"/>
    <w:rsid w:val="005D73C2"/>
    <w:rsid w:val="005E36A1"/>
    <w:rsid w:val="005E3D48"/>
    <w:rsid w:val="005F5EF0"/>
    <w:rsid w:val="00600D4F"/>
    <w:rsid w:val="00602B0D"/>
    <w:rsid w:val="006071E8"/>
    <w:rsid w:val="006078D6"/>
    <w:rsid w:val="006179B5"/>
    <w:rsid w:val="00623AC8"/>
    <w:rsid w:val="006350DD"/>
    <w:rsid w:val="00644142"/>
    <w:rsid w:val="00684253"/>
    <w:rsid w:val="00695D95"/>
    <w:rsid w:val="006A32F5"/>
    <w:rsid w:val="006A61A1"/>
    <w:rsid w:val="006B4ED7"/>
    <w:rsid w:val="006C1D03"/>
    <w:rsid w:val="006C488F"/>
    <w:rsid w:val="006E5C27"/>
    <w:rsid w:val="006E632F"/>
    <w:rsid w:val="006E63A5"/>
    <w:rsid w:val="006F3AC4"/>
    <w:rsid w:val="006F44B1"/>
    <w:rsid w:val="006F5372"/>
    <w:rsid w:val="0071283E"/>
    <w:rsid w:val="00724A4B"/>
    <w:rsid w:val="00724F79"/>
    <w:rsid w:val="007325CF"/>
    <w:rsid w:val="007370D5"/>
    <w:rsid w:val="0074656A"/>
    <w:rsid w:val="00747279"/>
    <w:rsid w:val="00787B7A"/>
    <w:rsid w:val="00790AEE"/>
    <w:rsid w:val="00793D37"/>
    <w:rsid w:val="007A0D49"/>
    <w:rsid w:val="007B7CCC"/>
    <w:rsid w:val="007D410A"/>
    <w:rsid w:val="007D509C"/>
    <w:rsid w:val="007F35AD"/>
    <w:rsid w:val="007F79DD"/>
    <w:rsid w:val="00803952"/>
    <w:rsid w:val="00806291"/>
    <w:rsid w:val="00816909"/>
    <w:rsid w:val="008206C6"/>
    <w:rsid w:val="008334B8"/>
    <w:rsid w:val="00841282"/>
    <w:rsid w:val="00844CD1"/>
    <w:rsid w:val="0084562F"/>
    <w:rsid w:val="00857152"/>
    <w:rsid w:val="0086618F"/>
    <w:rsid w:val="00866D73"/>
    <w:rsid w:val="008718AA"/>
    <w:rsid w:val="008810B4"/>
    <w:rsid w:val="00882D47"/>
    <w:rsid w:val="00895FC9"/>
    <w:rsid w:val="008A7C5C"/>
    <w:rsid w:val="008B0443"/>
    <w:rsid w:val="008B195F"/>
    <w:rsid w:val="008D410A"/>
    <w:rsid w:val="008E0384"/>
    <w:rsid w:val="008E5551"/>
    <w:rsid w:val="008F60B0"/>
    <w:rsid w:val="00924201"/>
    <w:rsid w:val="00924CB0"/>
    <w:rsid w:val="009259E6"/>
    <w:rsid w:val="00926949"/>
    <w:rsid w:val="009274B1"/>
    <w:rsid w:val="0093157B"/>
    <w:rsid w:val="009512ED"/>
    <w:rsid w:val="00954D84"/>
    <w:rsid w:val="00956146"/>
    <w:rsid w:val="009A21F1"/>
    <w:rsid w:val="009C35CF"/>
    <w:rsid w:val="009C3F08"/>
    <w:rsid w:val="009D1E76"/>
    <w:rsid w:val="009E5339"/>
    <w:rsid w:val="009F5857"/>
    <w:rsid w:val="00A014CF"/>
    <w:rsid w:val="00A24A25"/>
    <w:rsid w:val="00A34C78"/>
    <w:rsid w:val="00A45705"/>
    <w:rsid w:val="00A50CB8"/>
    <w:rsid w:val="00A5198E"/>
    <w:rsid w:val="00A614E5"/>
    <w:rsid w:val="00A668C8"/>
    <w:rsid w:val="00A70ED9"/>
    <w:rsid w:val="00A926FA"/>
    <w:rsid w:val="00A949E8"/>
    <w:rsid w:val="00A9537C"/>
    <w:rsid w:val="00AB05C0"/>
    <w:rsid w:val="00AB376F"/>
    <w:rsid w:val="00AD0182"/>
    <w:rsid w:val="00AD1811"/>
    <w:rsid w:val="00AD77A5"/>
    <w:rsid w:val="00AE4E5E"/>
    <w:rsid w:val="00B3673A"/>
    <w:rsid w:val="00B40992"/>
    <w:rsid w:val="00B50DD0"/>
    <w:rsid w:val="00B63C02"/>
    <w:rsid w:val="00B67929"/>
    <w:rsid w:val="00B824FB"/>
    <w:rsid w:val="00B876AE"/>
    <w:rsid w:val="00B93BB4"/>
    <w:rsid w:val="00BB7B86"/>
    <w:rsid w:val="00BD1620"/>
    <w:rsid w:val="00BE440D"/>
    <w:rsid w:val="00BE7491"/>
    <w:rsid w:val="00BF22E9"/>
    <w:rsid w:val="00C05E7A"/>
    <w:rsid w:val="00C05FA5"/>
    <w:rsid w:val="00C2398A"/>
    <w:rsid w:val="00C24B6A"/>
    <w:rsid w:val="00C26FFC"/>
    <w:rsid w:val="00C278EB"/>
    <w:rsid w:val="00C30922"/>
    <w:rsid w:val="00C6684E"/>
    <w:rsid w:val="00C74040"/>
    <w:rsid w:val="00C809D1"/>
    <w:rsid w:val="00C80D9F"/>
    <w:rsid w:val="00C84C4A"/>
    <w:rsid w:val="00C91563"/>
    <w:rsid w:val="00C92CDE"/>
    <w:rsid w:val="00CA1567"/>
    <w:rsid w:val="00CD1D7E"/>
    <w:rsid w:val="00CF3468"/>
    <w:rsid w:val="00D23BCD"/>
    <w:rsid w:val="00D2582B"/>
    <w:rsid w:val="00D32F40"/>
    <w:rsid w:val="00D42524"/>
    <w:rsid w:val="00D47D61"/>
    <w:rsid w:val="00D6049B"/>
    <w:rsid w:val="00D61156"/>
    <w:rsid w:val="00D753D6"/>
    <w:rsid w:val="00D86EEE"/>
    <w:rsid w:val="00D9764F"/>
    <w:rsid w:val="00DA29DC"/>
    <w:rsid w:val="00DA7D2C"/>
    <w:rsid w:val="00DD4B61"/>
    <w:rsid w:val="00DE43FD"/>
    <w:rsid w:val="00DF2468"/>
    <w:rsid w:val="00DF60E4"/>
    <w:rsid w:val="00E064A8"/>
    <w:rsid w:val="00E4292B"/>
    <w:rsid w:val="00E52816"/>
    <w:rsid w:val="00E829D7"/>
    <w:rsid w:val="00E95234"/>
    <w:rsid w:val="00EA136F"/>
    <w:rsid w:val="00EA2363"/>
    <w:rsid w:val="00EB07B1"/>
    <w:rsid w:val="00EB235F"/>
    <w:rsid w:val="00EB2F64"/>
    <w:rsid w:val="00EC2100"/>
    <w:rsid w:val="00ED786F"/>
    <w:rsid w:val="00EE30ED"/>
    <w:rsid w:val="00EF6F6F"/>
    <w:rsid w:val="00F1325B"/>
    <w:rsid w:val="00F4293B"/>
    <w:rsid w:val="00F50E20"/>
    <w:rsid w:val="00F511DB"/>
    <w:rsid w:val="00F7245A"/>
    <w:rsid w:val="00F84A91"/>
    <w:rsid w:val="00F85441"/>
    <w:rsid w:val="00F92070"/>
    <w:rsid w:val="00F96840"/>
    <w:rsid w:val="00F97AC9"/>
    <w:rsid w:val="00FB061E"/>
    <w:rsid w:val="00FB07D3"/>
    <w:rsid w:val="00FB1E6D"/>
    <w:rsid w:val="00FC02BC"/>
    <w:rsid w:val="00FE7907"/>
    <w:rsid w:val="018C3BF0"/>
    <w:rsid w:val="01F27430"/>
    <w:rsid w:val="021B0702"/>
    <w:rsid w:val="03094B07"/>
    <w:rsid w:val="03A200DA"/>
    <w:rsid w:val="03EF19D6"/>
    <w:rsid w:val="046E5030"/>
    <w:rsid w:val="047E7EEC"/>
    <w:rsid w:val="05810D93"/>
    <w:rsid w:val="068B1EC9"/>
    <w:rsid w:val="06AD62E4"/>
    <w:rsid w:val="06DD0CD0"/>
    <w:rsid w:val="07021B96"/>
    <w:rsid w:val="074F739B"/>
    <w:rsid w:val="07AC347B"/>
    <w:rsid w:val="08013031"/>
    <w:rsid w:val="080E4506"/>
    <w:rsid w:val="0878647D"/>
    <w:rsid w:val="08A61574"/>
    <w:rsid w:val="08EE403A"/>
    <w:rsid w:val="08FD674C"/>
    <w:rsid w:val="096D5B06"/>
    <w:rsid w:val="09751A9F"/>
    <w:rsid w:val="09DD7245"/>
    <w:rsid w:val="0A055AF2"/>
    <w:rsid w:val="0A4003AD"/>
    <w:rsid w:val="0A5E6195"/>
    <w:rsid w:val="0A654A44"/>
    <w:rsid w:val="0AFB17D5"/>
    <w:rsid w:val="0BD863F7"/>
    <w:rsid w:val="0C0C5A51"/>
    <w:rsid w:val="0C917A48"/>
    <w:rsid w:val="0D0A6D88"/>
    <w:rsid w:val="0D2F2EB2"/>
    <w:rsid w:val="0D3D30EB"/>
    <w:rsid w:val="0E0F4C20"/>
    <w:rsid w:val="0EEF6D6E"/>
    <w:rsid w:val="0EF82148"/>
    <w:rsid w:val="0F413093"/>
    <w:rsid w:val="10360A28"/>
    <w:rsid w:val="10887E87"/>
    <w:rsid w:val="115D76A9"/>
    <w:rsid w:val="11C53AB4"/>
    <w:rsid w:val="12517FC6"/>
    <w:rsid w:val="12F42F4C"/>
    <w:rsid w:val="13257202"/>
    <w:rsid w:val="1363315E"/>
    <w:rsid w:val="137912FC"/>
    <w:rsid w:val="13C65400"/>
    <w:rsid w:val="13F63ED6"/>
    <w:rsid w:val="142B0848"/>
    <w:rsid w:val="159520A6"/>
    <w:rsid w:val="15D54F0F"/>
    <w:rsid w:val="15F70B98"/>
    <w:rsid w:val="16305BA5"/>
    <w:rsid w:val="16722A60"/>
    <w:rsid w:val="16994DC1"/>
    <w:rsid w:val="174B2FAF"/>
    <w:rsid w:val="177C6796"/>
    <w:rsid w:val="17866127"/>
    <w:rsid w:val="17B85E16"/>
    <w:rsid w:val="17C4473B"/>
    <w:rsid w:val="1839082C"/>
    <w:rsid w:val="1A0538E9"/>
    <w:rsid w:val="1A1D12E8"/>
    <w:rsid w:val="1A9A6CD7"/>
    <w:rsid w:val="1AA027BB"/>
    <w:rsid w:val="1AB01AA7"/>
    <w:rsid w:val="1AE9461B"/>
    <w:rsid w:val="1AFC4CEC"/>
    <w:rsid w:val="1C550B58"/>
    <w:rsid w:val="1CBD26CA"/>
    <w:rsid w:val="1D5E1C8E"/>
    <w:rsid w:val="1D772D50"/>
    <w:rsid w:val="1DBE0FBE"/>
    <w:rsid w:val="1E077654"/>
    <w:rsid w:val="1E5D4587"/>
    <w:rsid w:val="1EAD6532"/>
    <w:rsid w:val="1EFFFE2F"/>
    <w:rsid w:val="1F267591"/>
    <w:rsid w:val="1F917F8B"/>
    <w:rsid w:val="1F93AB6D"/>
    <w:rsid w:val="1F9F190F"/>
    <w:rsid w:val="1FFFD4C3"/>
    <w:rsid w:val="20457F11"/>
    <w:rsid w:val="20593321"/>
    <w:rsid w:val="207939A7"/>
    <w:rsid w:val="213A031C"/>
    <w:rsid w:val="215C49EB"/>
    <w:rsid w:val="21EF55AB"/>
    <w:rsid w:val="21F66939"/>
    <w:rsid w:val="222C2718"/>
    <w:rsid w:val="22682BE3"/>
    <w:rsid w:val="22745AB0"/>
    <w:rsid w:val="238E2BA1"/>
    <w:rsid w:val="24171069"/>
    <w:rsid w:val="24394390"/>
    <w:rsid w:val="247077E2"/>
    <w:rsid w:val="24BC6D43"/>
    <w:rsid w:val="24CD79FE"/>
    <w:rsid w:val="25113A8A"/>
    <w:rsid w:val="251915FD"/>
    <w:rsid w:val="254519DF"/>
    <w:rsid w:val="259629A6"/>
    <w:rsid w:val="25CC175F"/>
    <w:rsid w:val="26213859"/>
    <w:rsid w:val="264E4DE9"/>
    <w:rsid w:val="26D46D21"/>
    <w:rsid w:val="26E965F9"/>
    <w:rsid w:val="27413274"/>
    <w:rsid w:val="275F3BA1"/>
    <w:rsid w:val="27C23A41"/>
    <w:rsid w:val="27E85BA6"/>
    <w:rsid w:val="285F7BDE"/>
    <w:rsid w:val="28CE5D75"/>
    <w:rsid w:val="28E27461"/>
    <w:rsid w:val="29047926"/>
    <w:rsid w:val="290A61DC"/>
    <w:rsid w:val="29493649"/>
    <w:rsid w:val="29FA485E"/>
    <w:rsid w:val="2A64666B"/>
    <w:rsid w:val="2A766639"/>
    <w:rsid w:val="2AD74565"/>
    <w:rsid w:val="2B524D23"/>
    <w:rsid w:val="2B9F8BA1"/>
    <w:rsid w:val="2BFB4A0E"/>
    <w:rsid w:val="2D701E05"/>
    <w:rsid w:val="2DE01460"/>
    <w:rsid w:val="2DE030B5"/>
    <w:rsid w:val="2E0B1E7C"/>
    <w:rsid w:val="2E787CC3"/>
    <w:rsid w:val="2EAB63F2"/>
    <w:rsid w:val="2F430CE4"/>
    <w:rsid w:val="2F7DC494"/>
    <w:rsid w:val="2F813147"/>
    <w:rsid w:val="2FBF22DE"/>
    <w:rsid w:val="304A7E50"/>
    <w:rsid w:val="30C70618"/>
    <w:rsid w:val="30D140CD"/>
    <w:rsid w:val="31055323"/>
    <w:rsid w:val="3135465C"/>
    <w:rsid w:val="31586882"/>
    <w:rsid w:val="31CD0718"/>
    <w:rsid w:val="320B1695"/>
    <w:rsid w:val="32D01A97"/>
    <w:rsid w:val="33997AF9"/>
    <w:rsid w:val="33CF8060"/>
    <w:rsid w:val="340E7596"/>
    <w:rsid w:val="343B4BE2"/>
    <w:rsid w:val="34551ADA"/>
    <w:rsid w:val="34797724"/>
    <w:rsid w:val="348338B6"/>
    <w:rsid w:val="35070C8B"/>
    <w:rsid w:val="35417A73"/>
    <w:rsid w:val="3570688A"/>
    <w:rsid w:val="3578720D"/>
    <w:rsid w:val="35910B7C"/>
    <w:rsid w:val="35E825E5"/>
    <w:rsid w:val="368C55F0"/>
    <w:rsid w:val="36B9398F"/>
    <w:rsid w:val="37635258"/>
    <w:rsid w:val="378239F1"/>
    <w:rsid w:val="37954647"/>
    <w:rsid w:val="3867407F"/>
    <w:rsid w:val="387F6CB4"/>
    <w:rsid w:val="38BE4EA5"/>
    <w:rsid w:val="39321925"/>
    <w:rsid w:val="39691347"/>
    <w:rsid w:val="39A43A9C"/>
    <w:rsid w:val="39D07993"/>
    <w:rsid w:val="3A264F9F"/>
    <w:rsid w:val="3B93114B"/>
    <w:rsid w:val="3BA36738"/>
    <w:rsid w:val="3C325654"/>
    <w:rsid w:val="3C553F4E"/>
    <w:rsid w:val="3C6472A5"/>
    <w:rsid w:val="3C6F29F8"/>
    <w:rsid w:val="3C7826C2"/>
    <w:rsid w:val="3C8C0992"/>
    <w:rsid w:val="3C9E2902"/>
    <w:rsid w:val="3D4C2164"/>
    <w:rsid w:val="3D8804DF"/>
    <w:rsid w:val="3DB0734E"/>
    <w:rsid w:val="3DFB3CBB"/>
    <w:rsid w:val="3DFF569D"/>
    <w:rsid w:val="3E5E1C00"/>
    <w:rsid w:val="3E6F5ADD"/>
    <w:rsid w:val="3EFFFC8B"/>
    <w:rsid w:val="3F3F1755"/>
    <w:rsid w:val="3FBE2F7D"/>
    <w:rsid w:val="3FED1AAE"/>
    <w:rsid w:val="40615FFB"/>
    <w:rsid w:val="40CF23D7"/>
    <w:rsid w:val="41045393"/>
    <w:rsid w:val="41244278"/>
    <w:rsid w:val="41675303"/>
    <w:rsid w:val="418B392B"/>
    <w:rsid w:val="41D13F2D"/>
    <w:rsid w:val="423E41FE"/>
    <w:rsid w:val="42F36125"/>
    <w:rsid w:val="4312774F"/>
    <w:rsid w:val="43916667"/>
    <w:rsid w:val="43B54698"/>
    <w:rsid w:val="43D12BC1"/>
    <w:rsid w:val="43D9356D"/>
    <w:rsid w:val="447140E8"/>
    <w:rsid w:val="44C76E6E"/>
    <w:rsid w:val="44FD63E1"/>
    <w:rsid w:val="454E1E40"/>
    <w:rsid w:val="45601D99"/>
    <w:rsid w:val="45B826C1"/>
    <w:rsid w:val="45E531ED"/>
    <w:rsid w:val="45E63067"/>
    <w:rsid w:val="45FD746A"/>
    <w:rsid w:val="464F50A0"/>
    <w:rsid w:val="4677113D"/>
    <w:rsid w:val="4682613E"/>
    <w:rsid w:val="46BF446E"/>
    <w:rsid w:val="46F3B148"/>
    <w:rsid w:val="46FF8DAD"/>
    <w:rsid w:val="47411B55"/>
    <w:rsid w:val="474544FA"/>
    <w:rsid w:val="47D9A6F1"/>
    <w:rsid w:val="47F87C95"/>
    <w:rsid w:val="48580F04"/>
    <w:rsid w:val="48D3628A"/>
    <w:rsid w:val="48D80297"/>
    <w:rsid w:val="491B6951"/>
    <w:rsid w:val="492B6619"/>
    <w:rsid w:val="4A1D4FA7"/>
    <w:rsid w:val="4A2046E0"/>
    <w:rsid w:val="4A714A31"/>
    <w:rsid w:val="4AC61F3D"/>
    <w:rsid w:val="4ACC101D"/>
    <w:rsid w:val="4AD9315C"/>
    <w:rsid w:val="4B985934"/>
    <w:rsid w:val="4BE01CBF"/>
    <w:rsid w:val="4DFA5798"/>
    <w:rsid w:val="4E481B7F"/>
    <w:rsid w:val="4E4D5283"/>
    <w:rsid w:val="4E8925E8"/>
    <w:rsid w:val="4ED12795"/>
    <w:rsid w:val="4EE7DC1F"/>
    <w:rsid w:val="4EEB600F"/>
    <w:rsid w:val="4F1E625D"/>
    <w:rsid w:val="4F4450EF"/>
    <w:rsid w:val="4F4FFE05"/>
    <w:rsid w:val="4F9412A2"/>
    <w:rsid w:val="4FAD7940"/>
    <w:rsid w:val="4FDD239D"/>
    <w:rsid w:val="4FF5C373"/>
    <w:rsid w:val="511063E7"/>
    <w:rsid w:val="51691755"/>
    <w:rsid w:val="518F32BB"/>
    <w:rsid w:val="5238356A"/>
    <w:rsid w:val="531B220B"/>
    <w:rsid w:val="53BD07B5"/>
    <w:rsid w:val="53CC4409"/>
    <w:rsid w:val="53D9176E"/>
    <w:rsid w:val="53E619C7"/>
    <w:rsid w:val="542645AC"/>
    <w:rsid w:val="54436FF8"/>
    <w:rsid w:val="547052B5"/>
    <w:rsid w:val="551C38B2"/>
    <w:rsid w:val="55392368"/>
    <w:rsid w:val="56831367"/>
    <w:rsid w:val="56B87C65"/>
    <w:rsid w:val="57BF919A"/>
    <w:rsid w:val="57C645AB"/>
    <w:rsid w:val="57DF3D5C"/>
    <w:rsid w:val="585D4C1E"/>
    <w:rsid w:val="58656D3C"/>
    <w:rsid w:val="5910111E"/>
    <w:rsid w:val="596223CA"/>
    <w:rsid w:val="59660D70"/>
    <w:rsid w:val="59AB25C7"/>
    <w:rsid w:val="59D32FAD"/>
    <w:rsid w:val="5AEE223E"/>
    <w:rsid w:val="5B306116"/>
    <w:rsid w:val="5BBA388A"/>
    <w:rsid w:val="5C051DB6"/>
    <w:rsid w:val="5C447CC6"/>
    <w:rsid w:val="5C742BC4"/>
    <w:rsid w:val="5C887FE1"/>
    <w:rsid w:val="5CD948BC"/>
    <w:rsid w:val="5D041CFD"/>
    <w:rsid w:val="5D196474"/>
    <w:rsid w:val="5D441D7E"/>
    <w:rsid w:val="5D6FC5BC"/>
    <w:rsid w:val="5DF6B274"/>
    <w:rsid w:val="5DFF0AA9"/>
    <w:rsid w:val="5E1611EE"/>
    <w:rsid w:val="5E9FC906"/>
    <w:rsid w:val="5EE43F9E"/>
    <w:rsid w:val="5EEF2594"/>
    <w:rsid w:val="5EF21B25"/>
    <w:rsid w:val="5F500ADA"/>
    <w:rsid w:val="5F534CF6"/>
    <w:rsid w:val="5F846885"/>
    <w:rsid w:val="5F9B4B6A"/>
    <w:rsid w:val="5FBFFBB8"/>
    <w:rsid w:val="5FD70210"/>
    <w:rsid w:val="5FDEF57C"/>
    <w:rsid w:val="5FF334E3"/>
    <w:rsid w:val="5FFDAAB1"/>
    <w:rsid w:val="5FFF944F"/>
    <w:rsid w:val="60430294"/>
    <w:rsid w:val="604B2E6D"/>
    <w:rsid w:val="60584F1D"/>
    <w:rsid w:val="6085533F"/>
    <w:rsid w:val="60A87AAC"/>
    <w:rsid w:val="616A04A3"/>
    <w:rsid w:val="618069DA"/>
    <w:rsid w:val="61BC24CC"/>
    <w:rsid w:val="62B5163A"/>
    <w:rsid w:val="63F109D0"/>
    <w:rsid w:val="63FF4664"/>
    <w:rsid w:val="640F6A6C"/>
    <w:rsid w:val="648839FD"/>
    <w:rsid w:val="64E35011"/>
    <w:rsid w:val="64EC0EFA"/>
    <w:rsid w:val="64F3746B"/>
    <w:rsid w:val="650F6997"/>
    <w:rsid w:val="652D4647"/>
    <w:rsid w:val="655FAC8C"/>
    <w:rsid w:val="657D7758"/>
    <w:rsid w:val="658878DC"/>
    <w:rsid w:val="65CDE3F4"/>
    <w:rsid w:val="661E3335"/>
    <w:rsid w:val="66326E66"/>
    <w:rsid w:val="664D59C9"/>
    <w:rsid w:val="667B13B2"/>
    <w:rsid w:val="66CC0FE3"/>
    <w:rsid w:val="66EA2B70"/>
    <w:rsid w:val="66EB45C9"/>
    <w:rsid w:val="6703383A"/>
    <w:rsid w:val="67C94193"/>
    <w:rsid w:val="67F11029"/>
    <w:rsid w:val="683B6B1D"/>
    <w:rsid w:val="68465A22"/>
    <w:rsid w:val="69AF8306"/>
    <w:rsid w:val="69F60125"/>
    <w:rsid w:val="6A0B698D"/>
    <w:rsid w:val="6A3F1ACC"/>
    <w:rsid w:val="6A435104"/>
    <w:rsid w:val="6AA83588"/>
    <w:rsid w:val="6ABE1C54"/>
    <w:rsid w:val="6ABF6769"/>
    <w:rsid w:val="6B4952F1"/>
    <w:rsid w:val="6B4A0729"/>
    <w:rsid w:val="6B8538F6"/>
    <w:rsid w:val="6BCF43E5"/>
    <w:rsid w:val="6BD91127"/>
    <w:rsid w:val="6BDF4553"/>
    <w:rsid w:val="6BF30CE9"/>
    <w:rsid w:val="6BF787E1"/>
    <w:rsid w:val="6BFF714F"/>
    <w:rsid w:val="6D9E12BE"/>
    <w:rsid w:val="6E642A4B"/>
    <w:rsid w:val="6EDC1CA1"/>
    <w:rsid w:val="6EFF5FCD"/>
    <w:rsid w:val="6F067B97"/>
    <w:rsid w:val="6F0B14F6"/>
    <w:rsid w:val="6F1E496C"/>
    <w:rsid w:val="6FDC12F8"/>
    <w:rsid w:val="6FFABEE2"/>
    <w:rsid w:val="70EB0FE2"/>
    <w:rsid w:val="719FE3CF"/>
    <w:rsid w:val="71F909F4"/>
    <w:rsid w:val="72137051"/>
    <w:rsid w:val="723533C3"/>
    <w:rsid w:val="72540AE6"/>
    <w:rsid w:val="72B334FF"/>
    <w:rsid w:val="72D775DF"/>
    <w:rsid w:val="73023D3C"/>
    <w:rsid w:val="733301B9"/>
    <w:rsid w:val="73830E13"/>
    <w:rsid w:val="73AFF658"/>
    <w:rsid w:val="73B51394"/>
    <w:rsid w:val="73D33BC9"/>
    <w:rsid w:val="747B74E2"/>
    <w:rsid w:val="74E43E38"/>
    <w:rsid w:val="74FA0ACC"/>
    <w:rsid w:val="7525730A"/>
    <w:rsid w:val="759B25F7"/>
    <w:rsid w:val="75F55C5B"/>
    <w:rsid w:val="75FF76AF"/>
    <w:rsid w:val="766C31BB"/>
    <w:rsid w:val="76861205"/>
    <w:rsid w:val="76E939D6"/>
    <w:rsid w:val="77810E0E"/>
    <w:rsid w:val="77E22030"/>
    <w:rsid w:val="77F79B09"/>
    <w:rsid w:val="77FDA0DE"/>
    <w:rsid w:val="78C338C8"/>
    <w:rsid w:val="79473B6A"/>
    <w:rsid w:val="797D5388"/>
    <w:rsid w:val="797F992D"/>
    <w:rsid w:val="79DF2E22"/>
    <w:rsid w:val="79DF6518"/>
    <w:rsid w:val="7A30411E"/>
    <w:rsid w:val="7A3405C7"/>
    <w:rsid w:val="7A504A88"/>
    <w:rsid w:val="7A545120"/>
    <w:rsid w:val="7A5D7213"/>
    <w:rsid w:val="7A6663A2"/>
    <w:rsid w:val="7A720375"/>
    <w:rsid w:val="7A7C4813"/>
    <w:rsid w:val="7A9C1EE9"/>
    <w:rsid w:val="7ACA1CFB"/>
    <w:rsid w:val="7AF17684"/>
    <w:rsid w:val="7AF81C4F"/>
    <w:rsid w:val="7B2F2932"/>
    <w:rsid w:val="7B432FC7"/>
    <w:rsid w:val="7B5D980B"/>
    <w:rsid w:val="7B7DEA92"/>
    <w:rsid w:val="7B8B1274"/>
    <w:rsid w:val="7BB164D2"/>
    <w:rsid w:val="7BBAC71D"/>
    <w:rsid w:val="7BD81D81"/>
    <w:rsid w:val="7BDA8F2E"/>
    <w:rsid w:val="7BDF7DD7"/>
    <w:rsid w:val="7CBD0FE2"/>
    <w:rsid w:val="7CE04A49"/>
    <w:rsid w:val="7CEE2032"/>
    <w:rsid w:val="7CF229CE"/>
    <w:rsid w:val="7CFB97A7"/>
    <w:rsid w:val="7D270B29"/>
    <w:rsid w:val="7D2FFA41"/>
    <w:rsid w:val="7D342A80"/>
    <w:rsid w:val="7D357E25"/>
    <w:rsid w:val="7D59E456"/>
    <w:rsid w:val="7D706789"/>
    <w:rsid w:val="7DBD29E8"/>
    <w:rsid w:val="7DCF803C"/>
    <w:rsid w:val="7DDF0845"/>
    <w:rsid w:val="7DFF5239"/>
    <w:rsid w:val="7E3BFDE0"/>
    <w:rsid w:val="7E5C1144"/>
    <w:rsid w:val="7E611BB9"/>
    <w:rsid w:val="7E77AB41"/>
    <w:rsid w:val="7EA3401D"/>
    <w:rsid w:val="7EC505F5"/>
    <w:rsid w:val="7EF9C329"/>
    <w:rsid w:val="7EFF0A36"/>
    <w:rsid w:val="7F054B18"/>
    <w:rsid w:val="7F343491"/>
    <w:rsid w:val="7F3836E4"/>
    <w:rsid w:val="7F764360"/>
    <w:rsid w:val="7FB44F62"/>
    <w:rsid w:val="7FCC728E"/>
    <w:rsid w:val="7FDFC334"/>
    <w:rsid w:val="7FEE4D4E"/>
    <w:rsid w:val="7FF1F04A"/>
    <w:rsid w:val="7FFB9820"/>
    <w:rsid w:val="8CCF3F03"/>
    <w:rsid w:val="8FBBE5D0"/>
    <w:rsid w:val="AD7B393A"/>
    <w:rsid w:val="ADF7F74C"/>
    <w:rsid w:val="ADFD3DE1"/>
    <w:rsid w:val="AFE7B782"/>
    <w:rsid w:val="B0EF8A31"/>
    <w:rsid w:val="B73FA63A"/>
    <w:rsid w:val="BB934025"/>
    <w:rsid w:val="BDF9CE2B"/>
    <w:rsid w:val="BF3B8BD5"/>
    <w:rsid w:val="BFC76141"/>
    <w:rsid w:val="BFDE71C1"/>
    <w:rsid w:val="BFFF8D76"/>
    <w:rsid w:val="C47F644F"/>
    <w:rsid w:val="CFFFDF59"/>
    <w:rsid w:val="D37BB5C9"/>
    <w:rsid w:val="D3FC098A"/>
    <w:rsid w:val="D9FBB451"/>
    <w:rsid w:val="DADF7BE9"/>
    <w:rsid w:val="DC8E5DDB"/>
    <w:rsid w:val="DCB950AA"/>
    <w:rsid w:val="DFB70DBB"/>
    <w:rsid w:val="DFDF4906"/>
    <w:rsid w:val="E5FB5920"/>
    <w:rsid w:val="E6EBD592"/>
    <w:rsid w:val="E6F4E53A"/>
    <w:rsid w:val="E6F5746E"/>
    <w:rsid w:val="E7BEBEAC"/>
    <w:rsid w:val="ECC46828"/>
    <w:rsid w:val="ED6550C3"/>
    <w:rsid w:val="ED7F616C"/>
    <w:rsid w:val="EDF9D1C1"/>
    <w:rsid w:val="EF8EF66C"/>
    <w:rsid w:val="EF9F6993"/>
    <w:rsid w:val="EFAF1F3C"/>
    <w:rsid w:val="EFBFDDD3"/>
    <w:rsid w:val="EFC96C21"/>
    <w:rsid w:val="EFDE83A6"/>
    <w:rsid w:val="EFEF0A3B"/>
    <w:rsid w:val="F2FDCA30"/>
    <w:rsid w:val="F3F2F3C9"/>
    <w:rsid w:val="F3F3D6CF"/>
    <w:rsid w:val="F4F7A600"/>
    <w:rsid w:val="F6EBC8B7"/>
    <w:rsid w:val="F77674B4"/>
    <w:rsid w:val="F7BB8504"/>
    <w:rsid w:val="F7F91955"/>
    <w:rsid w:val="F7FFAC75"/>
    <w:rsid w:val="F97F9BB2"/>
    <w:rsid w:val="F9F7F097"/>
    <w:rsid w:val="FAEE2D91"/>
    <w:rsid w:val="FB2C9E6B"/>
    <w:rsid w:val="FBE85E57"/>
    <w:rsid w:val="FBF77AD7"/>
    <w:rsid w:val="FBF7CAC9"/>
    <w:rsid w:val="FBF7DE29"/>
    <w:rsid w:val="FCB33DD9"/>
    <w:rsid w:val="FCDFED00"/>
    <w:rsid w:val="FD5B773C"/>
    <w:rsid w:val="FD9FFB8C"/>
    <w:rsid w:val="FDCB8205"/>
    <w:rsid w:val="FDFB87C1"/>
    <w:rsid w:val="FEA72BF8"/>
    <w:rsid w:val="FEAF5945"/>
    <w:rsid w:val="FED7E7EB"/>
    <w:rsid w:val="FEEF566B"/>
    <w:rsid w:val="FF3F5273"/>
    <w:rsid w:val="FF7B1E66"/>
    <w:rsid w:val="FF9B3FE3"/>
    <w:rsid w:val="FF9E175E"/>
    <w:rsid w:val="FF9EABAB"/>
    <w:rsid w:val="FFB5B9B3"/>
    <w:rsid w:val="FFB7F42D"/>
    <w:rsid w:val="FFBB9517"/>
    <w:rsid w:val="FFBF6531"/>
    <w:rsid w:val="FFC3F6BD"/>
    <w:rsid w:val="FFCB0338"/>
    <w:rsid w:val="FFDF2A6B"/>
    <w:rsid w:val="FFE7B520"/>
    <w:rsid w:val="FFF796D0"/>
    <w:rsid w:val="FFFD24EC"/>
    <w:rsid w:val="FFFDD344"/>
    <w:rsid w:val="FFFF18E6"/>
    <w:rsid w:val="FFFF5010"/>
    <w:rsid w:val="FFFF7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semiHidden="0"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35"/>
    <w:qFormat/>
    <w:uiPriority w:val="9"/>
    <w:pPr>
      <w:keepNext/>
      <w:keepLines/>
      <w:spacing w:before="480" w:after="80"/>
      <w:outlineLvl w:val="0"/>
    </w:pPr>
    <w:rPr>
      <w:rFonts w:ascii="等线 Light" w:hAnsi="等线 Light" w:eastAsia="等线 Light"/>
      <w:color w:val="0F4761"/>
      <w:sz w:val="48"/>
      <w:szCs w:val="48"/>
    </w:rPr>
  </w:style>
  <w:style w:type="paragraph" w:styleId="3">
    <w:name w:val="heading 2"/>
    <w:basedOn w:val="1"/>
    <w:next w:val="1"/>
    <w:link w:val="36"/>
    <w:qFormat/>
    <w:uiPriority w:val="9"/>
    <w:pPr>
      <w:keepNext/>
      <w:keepLines/>
      <w:spacing w:before="160" w:after="80"/>
      <w:outlineLvl w:val="1"/>
    </w:pPr>
    <w:rPr>
      <w:rFonts w:ascii="等线 Light" w:hAnsi="等线 Light" w:eastAsia="等线 Light"/>
      <w:color w:val="0F4761"/>
      <w:sz w:val="40"/>
      <w:szCs w:val="40"/>
    </w:rPr>
  </w:style>
  <w:style w:type="paragraph" w:styleId="4">
    <w:name w:val="heading 3"/>
    <w:basedOn w:val="1"/>
    <w:next w:val="1"/>
    <w:link w:val="37"/>
    <w:qFormat/>
    <w:uiPriority w:val="9"/>
    <w:pPr>
      <w:keepNext/>
      <w:keepLines/>
      <w:spacing w:before="160" w:after="80"/>
      <w:outlineLvl w:val="2"/>
    </w:pPr>
    <w:rPr>
      <w:rFonts w:ascii="等线 Light" w:hAnsi="等线 Light" w:eastAsia="等线 Light"/>
      <w:color w:val="0F4761"/>
      <w:sz w:val="32"/>
      <w:szCs w:val="32"/>
    </w:rPr>
  </w:style>
  <w:style w:type="paragraph" w:styleId="5">
    <w:name w:val="heading 4"/>
    <w:basedOn w:val="1"/>
    <w:next w:val="1"/>
    <w:link w:val="34"/>
    <w:qFormat/>
    <w:uiPriority w:val="9"/>
    <w:pPr>
      <w:keepNext/>
      <w:keepLines/>
      <w:spacing w:before="80" w:after="40"/>
      <w:outlineLvl w:val="3"/>
    </w:pPr>
    <w:rPr>
      <w:color w:val="0F4761"/>
      <w:sz w:val="28"/>
      <w:szCs w:val="28"/>
    </w:rPr>
  </w:style>
  <w:style w:type="paragraph" w:styleId="6">
    <w:name w:val="heading 5"/>
    <w:basedOn w:val="1"/>
    <w:next w:val="1"/>
    <w:link w:val="38"/>
    <w:qFormat/>
    <w:uiPriority w:val="9"/>
    <w:pPr>
      <w:keepNext/>
      <w:keepLines/>
      <w:spacing w:before="80" w:after="40"/>
      <w:outlineLvl w:val="4"/>
    </w:pPr>
    <w:rPr>
      <w:color w:val="0F4761"/>
      <w:sz w:val="24"/>
      <w:szCs w:val="24"/>
    </w:rPr>
  </w:style>
  <w:style w:type="paragraph" w:styleId="7">
    <w:name w:val="heading 6"/>
    <w:basedOn w:val="1"/>
    <w:next w:val="1"/>
    <w:link w:val="39"/>
    <w:qFormat/>
    <w:uiPriority w:val="9"/>
    <w:pPr>
      <w:keepNext/>
      <w:keepLines/>
      <w:spacing w:before="40"/>
      <w:outlineLvl w:val="5"/>
    </w:pPr>
    <w:rPr>
      <w:b/>
      <w:bCs/>
      <w:color w:val="0F4761"/>
    </w:rPr>
  </w:style>
  <w:style w:type="paragraph" w:styleId="8">
    <w:name w:val="heading 7"/>
    <w:basedOn w:val="1"/>
    <w:next w:val="1"/>
    <w:link w:val="40"/>
    <w:qFormat/>
    <w:uiPriority w:val="9"/>
    <w:pPr>
      <w:keepNext/>
      <w:keepLines/>
      <w:spacing w:before="40"/>
      <w:outlineLvl w:val="6"/>
    </w:pPr>
    <w:rPr>
      <w:b/>
      <w:bCs/>
      <w:color w:val="595959"/>
    </w:rPr>
  </w:style>
  <w:style w:type="paragraph" w:styleId="9">
    <w:name w:val="heading 8"/>
    <w:basedOn w:val="1"/>
    <w:next w:val="1"/>
    <w:link w:val="41"/>
    <w:qFormat/>
    <w:uiPriority w:val="9"/>
    <w:pPr>
      <w:keepNext/>
      <w:keepLines/>
      <w:outlineLvl w:val="7"/>
    </w:pPr>
    <w:rPr>
      <w:color w:val="595959"/>
    </w:rPr>
  </w:style>
  <w:style w:type="paragraph" w:styleId="10">
    <w:name w:val="heading 9"/>
    <w:basedOn w:val="1"/>
    <w:next w:val="1"/>
    <w:link w:val="42"/>
    <w:qFormat/>
    <w:uiPriority w:val="9"/>
    <w:pPr>
      <w:keepNext/>
      <w:keepLines/>
      <w:outlineLvl w:val="8"/>
    </w:pPr>
    <w:rPr>
      <w:rFonts w:eastAsia="等线 Light"/>
      <w:color w:val="595959"/>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2"/>
    <w:qFormat/>
    <w:uiPriority w:val="99"/>
    <w:pPr>
      <w:ind w:firstLine="630"/>
    </w:pPr>
    <w:rPr>
      <w:kern w:val="0"/>
    </w:rPr>
  </w:style>
  <w:style w:type="paragraph" w:styleId="12">
    <w:name w:val="Body Text"/>
    <w:basedOn w:val="1"/>
    <w:link w:val="43"/>
    <w:unhideWhenUsed/>
    <w:qFormat/>
    <w:uiPriority w:val="99"/>
    <w:pPr>
      <w:spacing w:after="120"/>
    </w:pPr>
  </w:style>
  <w:style w:type="paragraph" w:styleId="13">
    <w:name w:val="annotation text"/>
    <w:basedOn w:val="1"/>
    <w:link w:val="44"/>
    <w:unhideWhenUsed/>
    <w:qFormat/>
    <w:uiPriority w:val="99"/>
    <w:pPr>
      <w:jc w:val="left"/>
    </w:pPr>
    <w:rPr>
      <w:rFonts w:hint="eastAsia"/>
    </w:rPr>
  </w:style>
  <w:style w:type="paragraph" w:styleId="14">
    <w:name w:val="toc 5"/>
    <w:basedOn w:val="1"/>
    <w:next w:val="1"/>
    <w:qFormat/>
    <w:uiPriority w:val="0"/>
    <w:pPr>
      <w:ind w:left="1680"/>
    </w:pPr>
  </w:style>
  <w:style w:type="paragraph" w:styleId="15">
    <w:name w:val="Balloon Text"/>
    <w:basedOn w:val="1"/>
    <w:link w:val="45"/>
    <w:unhideWhenUsed/>
    <w:qFormat/>
    <w:uiPriority w:val="99"/>
    <w:rPr>
      <w:sz w:val="18"/>
      <w:szCs w:val="18"/>
    </w:rPr>
  </w:style>
  <w:style w:type="paragraph" w:styleId="16">
    <w:name w:val="footer"/>
    <w:basedOn w:val="1"/>
    <w:unhideWhenUsed/>
    <w:qFormat/>
    <w:uiPriority w:val="99"/>
    <w:pPr>
      <w:tabs>
        <w:tab w:val="center" w:pos="4153"/>
        <w:tab w:val="right" w:pos="8306"/>
      </w:tabs>
      <w:snapToGrid w:val="0"/>
      <w:jc w:val="left"/>
    </w:pPr>
    <w:rPr>
      <w:sz w:val="18"/>
      <w:szCs w:val="18"/>
    </w:rPr>
  </w:style>
  <w:style w:type="paragraph" w:styleId="17">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qFormat/>
    <w:uiPriority w:val="0"/>
  </w:style>
  <w:style w:type="paragraph" w:styleId="19">
    <w:name w:val="Subtitle"/>
    <w:basedOn w:val="1"/>
    <w:next w:val="1"/>
    <w:link w:val="46"/>
    <w:qFormat/>
    <w:uiPriority w:val="11"/>
    <w:pPr>
      <w:spacing w:after="160"/>
      <w:jc w:val="center"/>
    </w:pPr>
    <w:rPr>
      <w:rFonts w:ascii="等线 Light" w:hAnsi="等线 Light" w:eastAsia="等线 Light"/>
      <w:color w:val="595959"/>
      <w:spacing w:val="15"/>
      <w:sz w:val="28"/>
      <w:szCs w:val="28"/>
    </w:rPr>
  </w:style>
  <w:style w:type="paragraph" w:styleId="20">
    <w:name w:val="footnote text"/>
    <w:basedOn w:val="1"/>
    <w:unhideWhenUsed/>
    <w:qFormat/>
    <w:uiPriority w:val="99"/>
    <w:pPr>
      <w:snapToGrid w:val="0"/>
      <w:jc w:val="left"/>
    </w:pPr>
    <w:rPr>
      <w:sz w:val="18"/>
    </w:rPr>
  </w:style>
  <w:style w:type="paragraph" w:styleId="21">
    <w:name w:val="toc 2"/>
    <w:basedOn w:val="1"/>
    <w:next w:val="1"/>
    <w:unhideWhenUsed/>
    <w:qFormat/>
    <w:uiPriority w:val="39"/>
    <w:pPr>
      <w:ind w:left="420" w:leftChars="200"/>
    </w:pPr>
  </w:style>
  <w:style w:type="paragraph" w:styleId="22">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23">
    <w:name w:val="Normal (Web)"/>
    <w:basedOn w:val="1"/>
    <w:unhideWhenUsed/>
    <w:qFormat/>
    <w:uiPriority w:val="99"/>
    <w:rPr>
      <w:sz w:val="24"/>
    </w:rPr>
  </w:style>
  <w:style w:type="paragraph" w:styleId="24">
    <w:name w:val="Title"/>
    <w:basedOn w:val="1"/>
    <w:next w:val="1"/>
    <w:link w:val="47"/>
    <w:qFormat/>
    <w:uiPriority w:val="10"/>
    <w:pPr>
      <w:spacing w:after="80"/>
      <w:contextualSpacing/>
      <w:jc w:val="center"/>
    </w:pPr>
    <w:rPr>
      <w:rFonts w:ascii="等线 Light" w:hAnsi="等线 Light" w:eastAsia="等线 Light"/>
      <w:spacing w:val="-10"/>
      <w:kern w:val="28"/>
      <w:sz w:val="56"/>
      <w:szCs w:val="56"/>
    </w:rPr>
  </w:style>
  <w:style w:type="paragraph" w:styleId="25">
    <w:name w:val="annotation subject"/>
    <w:basedOn w:val="13"/>
    <w:next w:val="13"/>
    <w:link w:val="48"/>
    <w:unhideWhenUsed/>
    <w:qFormat/>
    <w:uiPriority w:val="99"/>
    <w:rPr>
      <w:rFonts w:hint="default"/>
      <w:b/>
      <w:bCs/>
    </w:rPr>
  </w:style>
  <w:style w:type="table" w:styleId="27">
    <w:name w:val="Table Grid"/>
    <w:basedOn w:val="2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FollowedHyperlink"/>
    <w:unhideWhenUsed/>
    <w:qFormat/>
    <w:uiPriority w:val="99"/>
    <w:rPr>
      <w:color w:val="800080"/>
      <w:u w:val="single"/>
    </w:rPr>
  </w:style>
  <w:style w:type="character" w:styleId="31">
    <w:name w:val="Hyperlink"/>
    <w:unhideWhenUsed/>
    <w:qFormat/>
    <w:uiPriority w:val="99"/>
    <w:rPr>
      <w:color w:val="0000FF"/>
      <w:u w:val="single"/>
    </w:rPr>
  </w:style>
  <w:style w:type="character" w:styleId="32">
    <w:name w:val="annotation reference"/>
    <w:unhideWhenUsed/>
    <w:qFormat/>
    <w:uiPriority w:val="99"/>
    <w:rPr>
      <w:sz w:val="21"/>
      <w:szCs w:val="21"/>
    </w:rPr>
  </w:style>
  <w:style w:type="character" w:styleId="33">
    <w:name w:val="footnote reference"/>
    <w:unhideWhenUsed/>
    <w:qFormat/>
    <w:uiPriority w:val="99"/>
    <w:rPr>
      <w:vertAlign w:val="superscript"/>
    </w:rPr>
  </w:style>
  <w:style w:type="character" w:customStyle="1" w:styleId="34">
    <w:name w:val="标题 4 字符"/>
    <w:link w:val="5"/>
    <w:semiHidden/>
    <w:qFormat/>
    <w:uiPriority w:val="9"/>
    <w:rPr>
      <w:rFonts w:cs="Times New Roman"/>
      <w:color w:val="0F4761"/>
      <w:sz w:val="28"/>
      <w:szCs w:val="28"/>
    </w:rPr>
  </w:style>
  <w:style w:type="character" w:customStyle="1" w:styleId="35">
    <w:name w:val="标题 1 字符"/>
    <w:link w:val="2"/>
    <w:qFormat/>
    <w:uiPriority w:val="9"/>
    <w:rPr>
      <w:rFonts w:ascii="等线 Light" w:hAnsi="等线 Light" w:eastAsia="等线 Light" w:cs="Times New Roman"/>
      <w:color w:val="0F4761"/>
      <w:sz w:val="48"/>
      <w:szCs w:val="48"/>
    </w:rPr>
  </w:style>
  <w:style w:type="character" w:customStyle="1" w:styleId="36">
    <w:name w:val="标题 2 字符"/>
    <w:link w:val="3"/>
    <w:semiHidden/>
    <w:qFormat/>
    <w:uiPriority w:val="9"/>
    <w:rPr>
      <w:rFonts w:ascii="等线 Light" w:hAnsi="等线 Light" w:eastAsia="等线 Light" w:cs="Times New Roman"/>
      <w:color w:val="0F4761"/>
      <w:sz w:val="40"/>
      <w:szCs w:val="40"/>
    </w:rPr>
  </w:style>
  <w:style w:type="character" w:customStyle="1" w:styleId="37">
    <w:name w:val="标题 3 字符"/>
    <w:link w:val="4"/>
    <w:semiHidden/>
    <w:qFormat/>
    <w:uiPriority w:val="9"/>
    <w:rPr>
      <w:rFonts w:ascii="等线 Light" w:hAnsi="等线 Light" w:eastAsia="等线 Light" w:cs="Times New Roman"/>
      <w:color w:val="0F4761"/>
      <w:sz w:val="32"/>
      <w:szCs w:val="32"/>
    </w:rPr>
  </w:style>
  <w:style w:type="character" w:customStyle="1" w:styleId="38">
    <w:name w:val="标题 5 字符"/>
    <w:link w:val="6"/>
    <w:semiHidden/>
    <w:qFormat/>
    <w:uiPriority w:val="9"/>
    <w:rPr>
      <w:rFonts w:cs="Times New Roman"/>
      <w:color w:val="0F4761"/>
      <w:sz w:val="24"/>
      <w:szCs w:val="24"/>
    </w:rPr>
  </w:style>
  <w:style w:type="character" w:customStyle="1" w:styleId="39">
    <w:name w:val="标题 6 字符"/>
    <w:link w:val="7"/>
    <w:semiHidden/>
    <w:qFormat/>
    <w:uiPriority w:val="9"/>
    <w:rPr>
      <w:rFonts w:cs="Times New Roman"/>
      <w:b/>
      <w:bCs/>
      <w:color w:val="0F4761"/>
    </w:rPr>
  </w:style>
  <w:style w:type="character" w:customStyle="1" w:styleId="40">
    <w:name w:val="标题 7 字符"/>
    <w:link w:val="8"/>
    <w:semiHidden/>
    <w:qFormat/>
    <w:uiPriority w:val="9"/>
    <w:rPr>
      <w:rFonts w:cs="Times New Roman"/>
      <w:b/>
      <w:bCs/>
      <w:color w:val="595959"/>
    </w:rPr>
  </w:style>
  <w:style w:type="character" w:customStyle="1" w:styleId="41">
    <w:name w:val="标题 8 字符"/>
    <w:link w:val="9"/>
    <w:semiHidden/>
    <w:qFormat/>
    <w:uiPriority w:val="9"/>
    <w:rPr>
      <w:rFonts w:cs="Times New Roman"/>
      <w:color w:val="595959"/>
    </w:rPr>
  </w:style>
  <w:style w:type="character" w:customStyle="1" w:styleId="42">
    <w:name w:val="标题 9 字符"/>
    <w:link w:val="10"/>
    <w:semiHidden/>
    <w:qFormat/>
    <w:uiPriority w:val="9"/>
    <w:rPr>
      <w:rFonts w:eastAsia="等线 Light" w:cs="Times New Roman"/>
      <w:color w:val="595959"/>
    </w:rPr>
  </w:style>
  <w:style w:type="character" w:customStyle="1" w:styleId="43">
    <w:name w:val="正文文本 字符"/>
    <w:link w:val="12"/>
    <w:semiHidden/>
    <w:qFormat/>
    <w:uiPriority w:val="99"/>
    <w:rPr>
      <w:rFonts w:ascii="等线" w:hAnsi="等线" w:eastAsia="等线" w:cs="Times New Roman"/>
    </w:rPr>
  </w:style>
  <w:style w:type="character" w:customStyle="1" w:styleId="44">
    <w:name w:val="批注文字 字符"/>
    <w:link w:val="13"/>
    <w:semiHidden/>
    <w:qFormat/>
    <w:uiPriority w:val="99"/>
    <w:rPr>
      <w:rFonts w:ascii="等线" w:hAnsi="等线" w:eastAsia="等线"/>
      <w:kern w:val="2"/>
      <w:sz w:val="21"/>
      <w:szCs w:val="22"/>
    </w:rPr>
  </w:style>
  <w:style w:type="character" w:customStyle="1" w:styleId="45">
    <w:name w:val="批注框文本 字符"/>
    <w:link w:val="15"/>
    <w:semiHidden/>
    <w:qFormat/>
    <w:uiPriority w:val="99"/>
    <w:rPr>
      <w:rFonts w:ascii="等线" w:hAnsi="等线" w:eastAsia="等线"/>
      <w:kern w:val="2"/>
      <w:sz w:val="18"/>
      <w:szCs w:val="18"/>
    </w:rPr>
  </w:style>
  <w:style w:type="character" w:customStyle="1" w:styleId="46">
    <w:name w:val="副标题 字符"/>
    <w:link w:val="19"/>
    <w:qFormat/>
    <w:uiPriority w:val="11"/>
    <w:rPr>
      <w:rFonts w:ascii="等线 Light" w:hAnsi="等线 Light" w:eastAsia="等线 Light" w:cs="Times New Roman"/>
      <w:color w:val="595959"/>
      <w:spacing w:val="15"/>
      <w:sz w:val="28"/>
      <w:szCs w:val="28"/>
    </w:rPr>
  </w:style>
  <w:style w:type="character" w:customStyle="1" w:styleId="47">
    <w:name w:val="标题 字符"/>
    <w:link w:val="24"/>
    <w:qFormat/>
    <w:uiPriority w:val="10"/>
    <w:rPr>
      <w:rFonts w:ascii="等线 Light" w:hAnsi="等线 Light" w:eastAsia="等线 Light" w:cs="Times New Roman"/>
      <w:spacing w:val="-10"/>
      <w:kern w:val="28"/>
      <w:sz w:val="56"/>
      <w:szCs w:val="56"/>
    </w:rPr>
  </w:style>
  <w:style w:type="character" w:customStyle="1" w:styleId="48">
    <w:name w:val="批注主题 字符"/>
    <w:link w:val="25"/>
    <w:semiHidden/>
    <w:qFormat/>
    <w:uiPriority w:val="99"/>
    <w:rPr>
      <w:rFonts w:ascii="等线" w:hAnsi="等线" w:eastAsia="等线"/>
      <w:b/>
      <w:bCs/>
      <w:kern w:val="2"/>
      <w:sz w:val="21"/>
      <w:szCs w:val="22"/>
    </w:rPr>
  </w:style>
  <w:style w:type="paragraph" w:styleId="49">
    <w:name w:val="Quote"/>
    <w:basedOn w:val="1"/>
    <w:next w:val="1"/>
    <w:link w:val="50"/>
    <w:qFormat/>
    <w:uiPriority w:val="29"/>
    <w:pPr>
      <w:spacing w:before="160" w:after="160"/>
      <w:jc w:val="center"/>
    </w:pPr>
    <w:rPr>
      <w:i/>
      <w:iCs/>
      <w:color w:val="3F3F3F"/>
    </w:rPr>
  </w:style>
  <w:style w:type="character" w:customStyle="1" w:styleId="50">
    <w:name w:val="引用 字符"/>
    <w:link w:val="49"/>
    <w:qFormat/>
    <w:uiPriority w:val="29"/>
    <w:rPr>
      <w:i/>
      <w:iCs/>
      <w:color w:val="3F3F3F"/>
    </w:rPr>
  </w:style>
  <w:style w:type="paragraph" w:styleId="51">
    <w:name w:val="List Paragraph"/>
    <w:basedOn w:val="1"/>
    <w:qFormat/>
    <w:uiPriority w:val="34"/>
    <w:pPr>
      <w:ind w:left="720"/>
      <w:contextualSpacing/>
    </w:pPr>
  </w:style>
  <w:style w:type="character" w:customStyle="1" w:styleId="52">
    <w:name w:val="明显强调1"/>
    <w:qFormat/>
    <w:uiPriority w:val="21"/>
    <w:rPr>
      <w:i/>
      <w:iCs/>
      <w:color w:val="0F4761"/>
    </w:rPr>
  </w:style>
  <w:style w:type="paragraph" w:styleId="53">
    <w:name w:val="Intense Quote"/>
    <w:basedOn w:val="1"/>
    <w:next w:val="1"/>
    <w:link w:val="54"/>
    <w:qFormat/>
    <w:uiPriority w:val="30"/>
    <w:pPr>
      <w:pBdr>
        <w:top w:val="single" w:color="0F4761" w:sz="4" w:space="10"/>
        <w:bottom w:val="single" w:color="0F4761" w:sz="4" w:space="10"/>
      </w:pBdr>
      <w:spacing w:before="360" w:after="360"/>
      <w:ind w:left="864" w:right="864"/>
      <w:jc w:val="center"/>
    </w:pPr>
    <w:rPr>
      <w:i/>
      <w:iCs/>
      <w:color w:val="0F4761"/>
    </w:rPr>
  </w:style>
  <w:style w:type="character" w:customStyle="1" w:styleId="54">
    <w:name w:val="明显引用 字符"/>
    <w:link w:val="53"/>
    <w:qFormat/>
    <w:uiPriority w:val="30"/>
    <w:rPr>
      <w:i/>
      <w:iCs/>
      <w:color w:val="0F4761"/>
    </w:rPr>
  </w:style>
  <w:style w:type="character" w:customStyle="1" w:styleId="55">
    <w:name w:val="明显参考1"/>
    <w:qFormat/>
    <w:uiPriority w:val="32"/>
    <w:rPr>
      <w:b/>
      <w:bCs/>
      <w:smallCaps/>
      <w:color w:val="0F4761"/>
      <w:spacing w:val="5"/>
    </w:rPr>
  </w:style>
  <w:style w:type="paragraph" w:customStyle="1" w:styleId="56">
    <w:name w:val="修订1"/>
    <w:unhideWhenUsed/>
    <w:qFormat/>
    <w:uiPriority w:val="99"/>
    <w:rPr>
      <w:rFonts w:ascii="等线" w:hAnsi="等线" w:eastAsia="等线" w:cs="Times New Roman"/>
      <w:kern w:val="2"/>
      <w:sz w:val="21"/>
      <w:szCs w:val="22"/>
      <w:lang w:val="en-US" w:eastAsia="zh-CN" w:bidi="ar-SA"/>
    </w:rPr>
  </w:style>
  <w:style w:type="paragraph" w:customStyle="1" w:styleId="57">
    <w:name w:val="修订2"/>
    <w:unhideWhenUsed/>
    <w:qFormat/>
    <w:uiPriority w:val="99"/>
    <w:rPr>
      <w:rFonts w:ascii="等线" w:hAnsi="等线" w:eastAsia="等线" w:cs="Times New Roman"/>
      <w:kern w:val="2"/>
      <w:sz w:val="21"/>
      <w:szCs w:val="22"/>
      <w:lang w:val="en-US" w:eastAsia="zh-CN" w:bidi="ar-SA"/>
    </w:rPr>
  </w:style>
  <w:style w:type="paragraph" w:customStyle="1" w:styleId="58">
    <w:name w:val="修订3"/>
    <w:semiHidden/>
    <w:qFormat/>
    <w:uiPriority w:val="99"/>
    <w:rPr>
      <w:rFonts w:ascii="等线" w:hAnsi="等线" w:eastAsia="等线" w:cs="Times New Roman"/>
      <w:kern w:val="2"/>
      <w:sz w:val="21"/>
      <w:szCs w:val="22"/>
      <w:lang w:val="en-US" w:eastAsia="zh-CN" w:bidi="ar-SA"/>
    </w:rPr>
  </w:style>
  <w:style w:type="paragraph" w:customStyle="1" w:styleId="59">
    <w:name w:val="_Style 1"/>
    <w:next w:val="1"/>
    <w:qFormat/>
    <w:uiPriority w:val="99"/>
    <w:pPr>
      <w:widowControl w:val="0"/>
      <w:ind w:firstLine="420"/>
      <w:jc w:val="both"/>
    </w:pPr>
    <w:rPr>
      <w:rFonts w:ascii="Times New Roman" w:hAnsi="Times New Roman" w:eastAsia="仿宋_GB2312" w:cs="Times New Roman"/>
      <w:kern w:val="2"/>
      <w:sz w:val="32"/>
      <w:lang w:val="en-US" w:eastAsia="zh-CN" w:bidi="ar-SA"/>
    </w:rPr>
  </w:style>
  <w:style w:type="paragraph" w:customStyle="1" w:styleId="60">
    <w:name w:val="WPSOffice手动目录 1"/>
    <w:qFormat/>
    <w:uiPriority w:val="0"/>
    <w:rPr>
      <w:rFonts w:ascii="Times New Roman" w:hAnsi="Times New Roman" w:eastAsia="宋体" w:cs="Times New Roman"/>
      <w:lang w:val="en-US" w:eastAsia="zh-CN" w:bidi="ar-SA"/>
    </w:rPr>
  </w:style>
  <w:style w:type="paragraph" w:customStyle="1" w:styleId="6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2">
    <w:name w:val="_Style 61"/>
    <w:unhideWhenUsed/>
    <w:qFormat/>
    <w:uiPriority w:val="99"/>
    <w:rPr>
      <w:rFonts w:ascii="等线" w:hAnsi="等线" w:eastAsia="等线" w:cs="Times New Roman"/>
      <w:kern w:val="2"/>
      <w:sz w:val="21"/>
      <w:szCs w:val="22"/>
      <w:lang w:val="en-US" w:eastAsia="zh-CN" w:bidi="ar-SA"/>
    </w:rPr>
  </w:style>
  <w:style w:type="paragraph" w:customStyle="1" w:styleId="63">
    <w:name w:val="修订4"/>
    <w:hidden/>
    <w:unhideWhenUsed/>
    <w:qFormat/>
    <w:uiPriority w:val="99"/>
    <w:rPr>
      <w:rFonts w:ascii="等线" w:hAnsi="等线" w:eastAsia="等线" w:cs="Times New Roman"/>
      <w:kern w:val="2"/>
      <w:sz w:val="21"/>
      <w:szCs w:val="22"/>
      <w:lang w:val="en-US" w:eastAsia="zh-CN" w:bidi="ar-SA"/>
    </w:rPr>
  </w:style>
  <w:style w:type="paragraph" w:customStyle="1" w:styleId="64">
    <w:name w:val="修订5"/>
    <w:hidden/>
    <w:unhideWhenUsed/>
    <w:qFormat/>
    <w:uiPriority w:val="99"/>
    <w:rPr>
      <w:rFonts w:ascii="等线" w:hAnsi="等线" w:eastAsia="等线" w:cs="Times New Roman"/>
      <w:kern w:val="2"/>
      <w:sz w:val="21"/>
      <w:szCs w:val="22"/>
      <w:lang w:val="en-US" w:eastAsia="zh-CN" w:bidi="ar-SA"/>
    </w:rPr>
  </w:style>
  <w:style w:type="paragraph" w:customStyle="1" w:styleId="65">
    <w:name w:val="修订6"/>
    <w:hidden/>
    <w:unhideWhenUsed/>
    <w:qFormat/>
    <w:uiPriority w:val="99"/>
    <w:rPr>
      <w:rFonts w:ascii="等线" w:hAnsi="等线" w:eastAsia="等线" w:cs="Times New Roman"/>
      <w:kern w:val="2"/>
      <w:sz w:val="21"/>
      <w:szCs w:val="22"/>
      <w:lang w:val="en-US" w:eastAsia="zh-CN" w:bidi="ar-SA"/>
    </w:rPr>
  </w:style>
  <w:style w:type="paragraph" w:customStyle="1" w:styleId="66">
    <w:name w:val="Revision"/>
    <w:hidden/>
    <w:unhideWhenUsed/>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5136</Words>
  <Characters>5496</Characters>
  <Lines>916</Lines>
  <Paragraphs>366</Paragraphs>
  <TotalTime>59</TotalTime>
  <ScaleCrop>false</ScaleCrop>
  <LinksUpToDate>false</LinksUpToDate>
  <CharactersWithSpaces>10266</CharactersWithSpaces>
  <Application>WPS Office_11.8.2.11764_F1E327BC-269C-435d-A152-05C5408002CA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2026-06-29T04:06:00Z</dcterms:created>
  <dc:creator>j k</dc:creator>
  <cp:lastModifiedBy>qdr</cp:lastModifiedBy>
  <cp:lastPrinted>2026-06-23T15:07:00Z</cp:lastPrinted>
  <dcterms:modified xsi:type="dcterms:W3CDTF">2026-07-20T11:26:25Z</dcterms:modified>
  <dc:title>市应急管理局关于提请审定深圳市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eyJoZGlkIjoiNjJlY2E3MmUxYTY2ZGViZjMyOTE5MmRkYjM3MGE5ZTkiLCJ1c2VySWQiOiIyNzc4ODM3NTMifQ==</vt:lpwstr>
  </property>
  <property fmtid="{D5CDD505-2E9C-101B-9397-08002B2CF9AE}" pid="3" name="KSOProductBuildVer">
    <vt:lpwstr>2052-11.8.2.11764</vt:lpwstr>
  </property>
  <property fmtid="{D5CDD505-2E9C-101B-9397-08002B2CF9AE}" pid="4" name="ICV">
    <vt:lpwstr>119C9E64E90FDFF7FDD5596A4160908F</vt:lpwstr>
  </property>
</Properties>
</file>