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wordWrap/>
        <w:overflowPunct/>
        <w:topLinePunct w:val="0"/>
        <w:bidi w:val="0"/>
        <w:spacing w:line="243" w:lineRule="auto"/>
      </w:pPr>
    </w:p>
    <w:p>
      <w:pPr>
        <w:pStyle w:val="3"/>
        <w:keepNext w:val="0"/>
        <w:keepLines w:val="0"/>
        <w:pageBreakBefore w:val="0"/>
        <w:widowControl w:val="0"/>
        <w:wordWrap/>
        <w:overflowPunct/>
        <w:topLinePunct w:val="0"/>
        <w:bidi w:val="0"/>
        <w:spacing w:line="243" w:lineRule="auto"/>
      </w:pPr>
    </w:p>
    <w:p>
      <w:pPr>
        <w:pStyle w:val="3"/>
        <w:keepNext w:val="0"/>
        <w:keepLines w:val="0"/>
        <w:pageBreakBefore w:val="0"/>
        <w:widowControl w:val="0"/>
        <w:wordWrap/>
        <w:overflowPunct/>
        <w:topLinePunct w:val="0"/>
        <w:bidi w:val="0"/>
        <w:spacing w:line="244" w:lineRule="auto"/>
      </w:pPr>
    </w:p>
    <w:p>
      <w:pPr>
        <w:pStyle w:val="3"/>
        <w:keepNext w:val="0"/>
        <w:keepLines w:val="0"/>
        <w:pageBreakBefore w:val="0"/>
        <w:widowControl w:val="0"/>
        <w:wordWrap/>
        <w:overflowPunct/>
        <w:topLinePunct w:val="0"/>
        <w:bidi w:val="0"/>
        <w:spacing w:line="244" w:lineRule="auto"/>
      </w:pPr>
    </w:p>
    <w:p>
      <w:pPr>
        <w:pStyle w:val="3"/>
        <w:keepNext w:val="0"/>
        <w:keepLines w:val="0"/>
        <w:pageBreakBefore w:val="0"/>
        <w:widowControl w:val="0"/>
        <w:wordWrap/>
        <w:overflowPunct/>
        <w:topLinePunct w:val="0"/>
        <w:bidi w:val="0"/>
        <w:spacing w:line="244" w:lineRule="auto"/>
      </w:pPr>
    </w:p>
    <w:p>
      <w:pPr>
        <w:keepNext w:val="0"/>
        <w:keepLines w:val="0"/>
        <w:pageBreakBefore w:val="0"/>
        <w:widowControl w:val="0"/>
        <w:wordWrap/>
        <w:overflowPunct/>
        <w:topLinePunct w:val="0"/>
        <w:bidi w:val="0"/>
        <w:spacing w:before="214" w:line="504" w:lineRule="exact"/>
        <w:ind w:left="738"/>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23"/>
          <w:position w:val="-2"/>
          <w:sz w:val="44"/>
          <w:szCs w:val="44"/>
        </w:rPr>
        <w:t>深圳市安全生产培训和考核大纲</w:t>
      </w:r>
    </w:p>
    <w:p>
      <w:pPr>
        <w:pStyle w:val="3"/>
        <w:keepNext w:val="0"/>
        <w:keepLines w:val="0"/>
        <w:pageBreakBefore w:val="0"/>
        <w:widowControl w:val="0"/>
        <w:wordWrap/>
        <w:overflowPunct/>
        <w:topLinePunct w:val="0"/>
        <w:bidi w:val="0"/>
        <w:spacing w:line="244" w:lineRule="auto"/>
        <w:rPr>
          <w:lang w:eastAsia="zh-CN"/>
        </w:rPr>
      </w:pPr>
    </w:p>
    <w:p>
      <w:pPr>
        <w:pStyle w:val="3"/>
        <w:keepNext w:val="0"/>
        <w:keepLines w:val="0"/>
        <w:pageBreakBefore w:val="0"/>
        <w:widowControl w:val="0"/>
        <w:wordWrap/>
        <w:overflowPunct/>
        <w:topLinePunct w:val="0"/>
        <w:bidi w:val="0"/>
        <w:spacing w:line="244" w:lineRule="auto"/>
        <w:rPr>
          <w:lang w:eastAsia="zh-CN"/>
        </w:rPr>
      </w:pPr>
    </w:p>
    <w:p>
      <w:pPr>
        <w:pStyle w:val="3"/>
        <w:keepNext w:val="0"/>
        <w:keepLines w:val="0"/>
        <w:pageBreakBefore w:val="0"/>
        <w:widowControl w:val="0"/>
        <w:wordWrap/>
        <w:overflowPunct/>
        <w:topLinePunct w:val="0"/>
        <w:bidi w:val="0"/>
        <w:spacing w:line="244" w:lineRule="auto"/>
        <w:rPr>
          <w:lang w:eastAsia="zh-CN"/>
        </w:rPr>
      </w:pPr>
    </w:p>
    <w:p>
      <w:pPr>
        <w:pStyle w:val="3"/>
        <w:keepNext w:val="0"/>
        <w:keepLines w:val="0"/>
        <w:pageBreakBefore w:val="0"/>
        <w:widowControl w:val="0"/>
        <w:wordWrap/>
        <w:overflowPunct/>
        <w:topLinePunct w:val="0"/>
        <w:bidi w:val="0"/>
        <w:spacing w:line="244" w:lineRule="auto"/>
        <w:rPr>
          <w:lang w:eastAsia="zh-CN"/>
        </w:rPr>
      </w:pPr>
      <w:r>
        <w:rPr>
          <w:snapToGrid w:val="0"/>
        </w:rPr>
        <mc:AlternateContent>
          <mc:Choice Requires="wps">
            <w:drawing>
              <wp:anchor distT="0" distB="0" distL="114300" distR="114300" simplePos="0" relativeHeight="251659264" behindDoc="0" locked="0" layoutInCell="1" allowOverlap="1">
                <wp:simplePos x="0" y="0"/>
                <wp:positionH relativeFrom="column">
                  <wp:posOffset>44450</wp:posOffset>
                </wp:positionH>
                <wp:positionV relativeFrom="paragraph">
                  <wp:posOffset>12065</wp:posOffset>
                </wp:positionV>
                <wp:extent cx="5760085" cy="10795"/>
                <wp:effectExtent l="6350" t="2540" r="5715" b="5715"/>
                <wp:wrapNone/>
                <wp:docPr id="1421349968" name="任意多边形: 形状 2"/>
                <wp:cNvGraphicFramePr/>
                <a:graphic xmlns:a="http://schemas.openxmlformats.org/drawingml/2006/main">
                  <a:graphicData uri="http://schemas.microsoft.com/office/word/2010/wordprocessingShape">
                    <wps:wsp>
                      <wps:cNvSpPr>
                        <a:spLocks noChangeArrowheads="true"/>
                      </wps:cNvSpPr>
                      <wps:spPr bwMode="auto">
                        <a:xfrm>
                          <a:off x="0" y="0"/>
                          <a:ext cx="5760085" cy="10795"/>
                        </a:xfrm>
                        <a:custGeom>
                          <a:avLst/>
                          <a:gdLst>
                            <a:gd name="T0" fmla="*/ 0 w 9070"/>
                            <a:gd name="T1" fmla="*/ 7 h 17"/>
                            <a:gd name="T2" fmla="*/ 9070 w 9070"/>
                            <a:gd name="T3" fmla="*/ 8 h 17"/>
                          </a:gdLst>
                          <a:ahLst/>
                          <a:cxnLst>
                            <a:cxn ang="0">
                              <a:pos x="T0" y="T1"/>
                            </a:cxn>
                            <a:cxn ang="0">
                              <a:pos x="T2" y="T3"/>
                            </a:cxn>
                          </a:cxnLst>
                          <a:rect l="0" t="0" r="r" b="b"/>
                          <a:pathLst>
                            <a:path w="9070" h="17">
                              <a:moveTo>
                                <a:pt x="0" y="7"/>
                              </a:moveTo>
                              <a:lnTo>
                                <a:pt x="9070" y="8"/>
                              </a:lnTo>
                            </a:path>
                          </a:pathLst>
                        </a:custGeom>
                        <a:noFill/>
                        <a:ln w="9525">
                          <a:solidFill>
                            <a:srgbClr val="080000"/>
                          </a:solidFill>
                          <a:round/>
                        </a:ln>
                      </wps:spPr>
                      <wps:bodyPr rot="0" vert="horz" wrap="square" lIns="91440" tIns="45720" rIns="91440" bIns="45720" anchor="t" anchorCtr="false" upright="true">
                        <a:noAutofit/>
                      </wps:bodyPr>
                    </wps:wsp>
                  </a:graphicData>
                </a:graphic>
              </wp:anchor>
            </w:drawing>
          </mc:Choice>
          <mc:Fallback>
            <w:pict>
              <v:shape id="任意多边形: 形状 2" o:spid="_x0000_s1026" o:spt="100" style="position:absolute;left:0pt;margin-left:3.5pt;margin-top:0.95pt;height:0.85pt;width:453.55pt;z-index:251659264;mso-width-relative:page;mso-height-relative:page;" filled="f" stroked="t" coordsize="9070,17" o:gfxdata="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" path="m0,7l9070,8e">
                <v:path o:connectlocs="0,4445;5760085,5080" o:connectangles="0,0"/>
                <v:fill on="f" focussize="0,0"/>
                <v:stroke color="#080000" joinstyle="round"/>
                <v:imagedata o:title=""/>
                <o:lock v:ext="edit" aspectratio="f"/>
              </v:shape>
            </w:pict>
          </mc:Fallback>
        </mc:AlternateContent>
      </w:r>
    </w:p>
    <w:p>
      <w:pPr>
        <w:pStyle w:val="3"/>
        <w:keepNext w:val="0"/>
        <w:keepLines w:val="0"/>
        <w:pageBreakBefore w:val="0"/>
        <w:widowControl w:val="0"/>
        <w:wordWrap/>
        <w:overflowPunct/>
        <w:topLinePunct w:val="0"/>
        <w:bidi w:val="0"/>
        <w:spacing w:line="245" w:lineRule="auto"/>
        <w:rPr>
          <w:lang w:eastAsia="zh-CN"/>
        </w:rPr>
      </w:pPr>
    </w:p>
    <w:p>
      <w:pPr>
        <w:pStyle w:val="3"/>
        <w:keepNext w:val="0"/>
        <w:keepLines w:val="0"/>
        <w:pageBreakBefore w:val="0"/>
        <w:widowControl w:val="0"/>
        <w:wordWrap/>
        <w:overflowPunct/>
        <w:topLinePunct w:val="0"/>
        <w:bidi w:val="0"/>
        <w:spacing w:line="245" w:lineRule="auto"/>
        <w:rPr>
          <w:lang w:eastAsia="zh-CN"/>
        </w:rPr>
      </w:pPr>
    </w:p>
    <w:p>
      <w:pPr>
        <w:pStyle w:val="3"/>
        <w:keepNext w:val="0"/>
        <w:keepLines w:val="0"/>
        <w:pageBreakBefore w:val="0"/>
        <w:widowControl w:val="0"/>
        <w:wordWrap/>
        <w:overflowPunct/>
        <w:topLinePunct w:val="0"/>
        <w:bidi w:val="0"/>
        <w:spacing w:line="245" w:lineRule="auto"/>
        <w:rPr>
          <w:lang w:eastAsia="zh-CN"/>
        </w:rPr>
      </w:pPr>
    </w:p>
    <w:p>
      <w:pPr>
        <w:keepNext w:val="0"/>
        <w:keepLines w:val="0"/>
        <w:pageBreakBefore w:val="0"/>
        <w:widowControl w:val="0"/>
        <w:wordWrap/>
        <w:overflowPunct/>
        <w:topLinePunct w:val="0"/>
        <w:bidi w:val="0"/>
        <w:spacing w:before="172"/>
        <w:jc w:val="center"/>
        <w:rPr>
          <w:rFonts w:hint="eastAsia" w:ascii="方正小标宋_GBK" w:hAnsi="方正小标宋_GBK" w:eastAsia="方正小标宋_GBK" w:cs="方正小标宋_GBK"/>
          <w:spacing w:val="2"/>
          <w:position w:val="-2"/>
          <w:sz w:val="44"/>
          <w:szCs w:val="44"/>
        </w:rPr>
      </w:pPr>
      <w:r>
        <w:rPr>
          <w:rFonts w:hint="eastAsia" w:ascii="方正小标宋_GBK" w:hAnsi="方正小标宋_GBK" w:eastAsia="方正小标宋_GBK" w:cs="方正小标宋_GBK"/>
          <w:spacing w:val="3"/>
          <w:position w:val="-2"/>
          <w:sz w:val="44"/>
          <w:szCs w:val="44"/>
        </w:rPr>
        <w:t>深圳市非高</w:t>
      </w:r>
      <w:bookmarkStart w:id="8" w:name="_GoBack"/>
      <w:bookmarkEnd w:id="8"/>
      <w:r>
        <w:rPr>
          <w:rFonts w:hint="eastAsia" w:ascii="方正小标宋_GBK" w:hAnsi="方正小标宋_GBK" w:eastAsia="方正小标宋_GBK" w:cs="方正小标宋_GBK"/>
          <w:spacing w:val="3"/>
          <w:position w:val="-2"/>
          <w:sz w:val="44"/>
          <w:szCs w:val="44"/>
        </w:rPr>
        <w:t>危生产经营单位</w:t>
      </w:r>
      <w:r>
        <w:rPr>
          <w:rFonts w:hint="eastAsia" w:ascii="方正小标宋_GBK" w:hAnsi="方正小标宋_GBK" w:eastAsia="方正小标宋_GBK" w:cs="方正小标宋_GBK"/>
          <w:spacing w:val="3"/>
          <w:position w:val="-2"/>
          <w:sz w:val="44"/>
          <w:szCs w:val="44"/>
          <w:lang w:eastAsia="zh-CN"/>
        </w:rPr>
        <w:t>安全生产管理人员</w:t>
      </w:r>
      <w:r>
        <w:rPr>
          <w:rFonts w:hint="eastAsia" w:ascii="方正小标宋_GBK" w:hAnsi="方正小标宋_GBK" w:eastAsia="方正小标宋_GBK" w:cs="方正小标宋_GBK"/>
          <w:spacing w:val="2"/>
          <w:position w:val="-2"/>
          <w:sz w:val="44"/>
          <w:szCs w:val="44"/>
        </w:rPr>
        <w:t>安全生产培训和考核大纲</w:t>
      </w:r>
    </w:p>
    <w:p>
      <w:pPr>
        <w:keepNext w:val="0"/>
        <w:keepLines w:val="0"/>
        <w:pageBreakBefore w:val="0"/>
        <w:widowControl w:val="0"/>
        <w:wordWrap/>
        <w:overflowPunct/>
        <w:topLinePunct w:val="0"/>
        <w:bidi w:val="0"/>
        <w:spacing w:before="172"/>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2"/>
          <w:position w:val="-2"/>
          <w:sz w:val="44"/>
          <w:szCs w:val="44"/>
        </w:rPr>
        <w:t>（征求意见稿）</w:t>
      </w:r>
    </w:p>
    <w:p>
      <w:pPr>
        <w:pStyle w:val="3"/>
        <w:keepNext w:val="0"/>
        <w:keepLines w:val="0"/>
        <w:pageBreakBefore w:val="0"/>
        <w:widowControl w:val="0"/>
        <w:wordWrap/>
        <w:overflowPunct/>
        <w:topLinePunct w:val="0"/>
        <w:bidi w:val="0"/>
        <w:spacing w:line="241" w:lineRule="auto"/>
        <w:rPr>
          <w:lang w:eastAsia="zh-CN"/>
        </w:rPr>
      </w:pPr>
    </w:p>
    <w:p>
      <w:pPr>
        <w:pStyle w:val="3"/>
        <w:keepNext w:val="0"/>
        <w:keepLines w:val="0"/>
        <w:pageBreakBefore w:val="0"/>
        <w:widowControl w:val="0"/>
        <w:wordWrap/>
        <w:overflowPunct/>
        <w:topLinePunct w:val="0"/>
        <w:bidi w:val="0"/>
        <w:spacing w:line="241" w:lineRule="auto"/>
        <w:rPr>
          <w:lang w:eastAsia="zh-CN"/>
        </w:rPr>
      </w:pPr>
    </w:p>
    <w:p>
      <w:pPr>
        <w:pStyle w:val="3"/>
        <w:keepNext w:val="0"/>
        <w:keepLines w:val="0"/>
        <w:pageBreakBefore w:val="0"/>
        <w:widowControl w:val="0"/>
        <w:wordWrap/>
        <w:overflowPunct/>
        <w:topLinePunct w:val="0"/>
        <w:bidi w:val="0"/>
        <w:spacing w:line="241" w:lineRule="auto"/>
        <w:rPr>
          <w:lang w:eastAsia="zh-CN"/>
        </w:rPr>
      </w:pPr>
    </w:p>
    <w:p>
      <w:pPr>
        <w:pStyle w:val="3"/>
        <w:keepNext w:val="0"/>
        <w:keepLines w:val="0"/>
        <w:pageBreakBefore w:val="0"/>
        <w:widowControl w:val="0"/>
        <w:wordWrap/>
        <w:overflowPunct/>
        <w:topLinePunct w:val="0"/>
        <w:bidi w:val="0"/>
        <w:spacing w:line="241" w:lineRule="auto"/>
        <w:rPr>
          <w:lang w:eastAsia="zh-CN"/>
        </w:rPr>
      </w:pPr>
    </w:p>
    <w:p>
      <w:pPr>
        <w:pStyle w:val="3"/>
        <w:keepNext w:val="0"/>
        <w:keepLines w:val="0"/>
        <w:pageBreakBefore w:val="0"/>
        <w:widowControl w:val="0"/>
        <w:wordWrap/>
        <w:overflowPunct/>
        <w:topLinePunct w:val="0"/>
        <w:bidi w:val="0"/>
        <w:spacing w:line="241" w:lineRule="auto"/>
        <w:rPr>
          <w:lang w:eastAsia="zh-CN"/>
        </w:rPr>
      </w:pPr>
    </w:p>
    <w:p>
      <w:pPr>
        <w:pStyle w:val="3"/>
        <w:keepNext w:val="0"/>
        <w:keepLines w:val="0"/>
        <w:pageBreakBefore w:val="0"/>
        <w:widowControl w:val="0"/>
        <w:wordWrap/>
        <w:overflowPunct/>
        <w:topLinePunct w:val="0"/>
        <w:bidi w:val="0"/>
        <w:spacing w:line="241" w:lineRule="auto"/>
        <w:rPr>
          <w:lang w:eastAsia="zh-CN"/>
        </w:rPr>
      </w:pPr>
    </w:p>
    <w:p>
      <w:pPr>
        <w:pStyle w:val="3"/>
        <w:keepNext w:val="0"/>
        <w:keepLines w:val="0"/>
        <w:pageBreakBefore w:val="0"/>
        <w:widowControl w:val="0"/>
        <w:wordWrap/>
        <w:overflowPunct/>
        <w:topLinePunct w:val="0"/>
        <w:bidi w:val="0"/>
        <w:spacing w:line="241" w:lineRule="auto"/>
        <w:rPr>
          <w:lang w:eastAsia="zh-CN"/>
        </w:rPr>
      </w:pPr>
    </w:p>
    <w:p>
      <w:pPr>
        <w:pStyle w:val="3"/>
        <w:keepNext w:val="0"/>
        <w:keepLines w:val="0"/>
        <w:pageBreakBefore w:val="0"/>
        <w:widowControl w:val="0"/>
        <w:wordWrap/>
        <w:overflowPunct/>
        <w:topLinePunct w:val="0"/>
        <w:bidi w:val="0"/>
        <w:spacing w:line="241" w:lineRule="auto"/>
        <w:rPr>
          <w:lang w:eastAsia="zh-CN"/>
        </w:rPr>
      </w:pPr>
    </w:p>
    <w:p>
      <w:pPr>
        <w:pStyle w:val="3"/>
        <w:keepNext w:val="0"/>
        <w:keepLines w:val="0"/>
        <w:pageBreakBefore w:val="0"/>
        <w:widowControl w:val="0"/>
        <w:wordWrap/>
        <w:overflowPunct/>
        <w:topLinePunct w:val="0"/>
        <w:bidi w:val="0"/>
        <w:spacing w:line="241" w:lineRule="auto"/>
        <w:rPr>
          <w:lang w:eastAsia="zh-CN"/>
        </w:rPr>
      </w:pPr>
    </w:p>
    <w:p>
      <w:pPr>
        <w:pStyle w:val="3"/>
        <w:keepNext w:val="0"/>
        <w:keepLines w:val="0"/>
        <w:pageBreakBefore w:val="0"/>
        <w:widowControl w:val="0"/>
        <w:wordWrap/>
        <w:overflowPunct/>
        <w:topLinePunct w:val="0"/>
        <w:bidi w:val="0"/>
        <w:spacing w:line="241" w:lineRule="auto"/>
        <w:rPr>
          <w:lang w:eastAsia="zh-CN"/>
        </w:rPr>
      </w:pPr>
    </w:p>
    <w:p>
      <w:pPr>
        <w:pStyle w:val="3"/>
        <w:keepNext w:val="0"/>
        <w:keepLines w:val="0"/>
        <w:pageBreakBefore w:val="0"/>
        <w:widowControl w:val="0"/>
        <w:wordWrap/>
        <w:overflowPunct/>
        <w:topLinePunct w:val="0"/>
        <w:bidi w:val="0"/>
        <w:spacing w:line="241" w:lineRule="auto"/>
        <w:rPr>
          <w:lang w:eastAsia="zh-CN"/>
        </w:rPr>
      </w:pPr>
    </w:p>
    <w:p>
      <w:pPr>
        <w:pStyle w:val="3"/>
        <w:keepNext w:val="0"/>
        <w:keepLines w:val="0"/>
        <w:pageBreakBefore w:val="0"/>
        <w:widowControl w:val="0"/>
        <w:wordWrap/>
        <w:overflowPunct/>
        <w:topLinePunct w:val="0"/>
        <w:bidi w:val="0"/>
        <w:spacing w:line="241" w:lineRule="auto"/>
        <w:rPr>
          <w:lang w:eastAsia="zh-CN"/>
        </w:rPr>
      </w:pPr>
    </w:p>
    <w:p>
      <w:pPr>
        <w:pStyle w:val="3"/>
        <w:keepNext w:val="0"/>
        <w:keepLines w:val="0"/>
        <w:pageBreakBefore w:val="0"/>
        <w:widowControl w:val="0"/>
        <w:wordWrap/>
        <w:overflowPunct/>
        <w:topLinePunct w:val="0"/>
        <w:bidi w:val="0"/>
        <w:spacing w:line="242" w:lineRule="auto"/>
        <w:rPr>
          <w:lang w:eastAsia="zh-CN"/>
        </w:rPr>
      </w:pPr>
    </w:p>
    <w:p>
      <w:pPr>
        <w:pStyle w:val="3"/>
        <w:keepNext w:val="0"/>
        <w:keepLines w:val="0"/>
        <w:pageBreakBefore w:val="0"/>
        <w:widowControl w:val="0"/>
        <w:wordWrap/>
        <w:overflowPunct/>
        <w:topLinePunct w:val="0"/>
        <w:bidi w:val="0"/>
        <w:spacing w:line="242" w:lineRule="auto"/>
        <w:rPr>
          <w:lang w:eastAsia="zh-CN"/>
        </w:rPr>
      </w:pPr>
    </w:p>
    <w:p>
      <w:pPr>
        <w:pStyle w:val="3"/>
        <w:keepNext w:val="0"/>
        <w:keepLines w:val="0"/>
        <w:pageBreakBefore w:val="0"/>
        <w:widowControl w:val="0"/>
        <w:wordWrap/>
        <w:overflowPunct/>
        <w:topLinePunct w:val="0"/>
        <w:bidi w:val="0"/>
        <w:spacing w:line="242" w:lineRule="auto"/>
        <w:rPr>
          <w:lang w:eastAsia="zh-CN"/>
        </w:rPr>
      </w:pPr>
    </w:p>
    <w:p>
      <w:pPr>
        <w:pStyle w:val="3"/>
        <w:keepNext w:val="0"/>
        <w:keepLines w:val="0"/>
        <w:pageBreakBefore w:val="0"/>
        <w:widowControl w:val="0"/>
        <w:wordWrap/>
        <w:overflowPunct/>
        <w:topLinePunct w:val="0"/>
        <w:bidi w:val="0"/>
        <w:spacing w:line="242" w:lineRule="auto"/>
        <w:rPr>
          <w:lang w:eastAsia="zh-CN"/>
        </w:rPr>
      </w:pPr>
    </w:p>
    <w:p>
      <w:pPr>
        <w:pStyle w:val="3"/>
        <w:keepNext w:val="0"/>
        <w:keepLines w:val="0"/>
        <w:pageBreakBefore w:val="0"/>
        <w:widowControl w:val="0"/>
        <w:wordWrap/>
        <w:overflowPunct/>
        <w:topLinePunct w:val="0"/>
        <w:bidi w:val="0"/>
        <w:spacing w:line="242" w:lineRule="auto"/>
        <w:rPr>
          <w:lang w:eastAsia="zh-CN"/>
        </w:rPr>
      </w:pPr>
    </w:p>
    <w:p>
      <w:pPr>
        <w:pStyle w:val="3"/>
        <w:keepNext w:val="0"/>
        <w:keepLines w:val="0"/>
        <w:pageBreakBefore w:val="0"/>
        <w:widowControl w:val="0"/>
        <w:wordWrap/>
        <w:overflowPunct/>
        <w:topLinePunct w:val="0"/>
        <w:bidi w:val="0"/>
        <w:spacing w:line="242" w:lineRule="auto"/>
        <w:rPr>
          <w:lang w:eastAsia="zh-CN"/>
        </w:rPr>
      </w:pPr>
    </w:p>
    <w:p>
      <w:pPr>
        <w:pStyle w:val="3"/>
        <w:keepNext w:val="0"/>
        <w:keepLines w:val="0"/>
        <w:pageBreakBefore w:val="0"/>
        <w:widowControl w:val="0"/>
        <w:wordWrap/>
        <w:overflowPunct/>
        <w:topLinePunct w:val="0"/>
        <w:bidi w:val="0"/>
        <w:spacing w:line="242" w:lineRule="auto"/>
        <w:rPr>
          <w:lang w:eastAsia="zh-CN"/>
        </w:rPr>
      </w:pPr>
    </w:p>
    <w:p>
      <w:pPr>
        <w:pStyle w:val="3"/>
        <w:keepNext w:val="0"/>
        <w:keepLines w:val="0"/>
        <w:pageBreakBefore w:val="0"/>
        <w:widowControl w:val="0"/>
        <w:wordWrap/>
        <w:overflowPunct/>
        <w:topLinePunct w:val="0"/>
        <w:bidi w:val="0"/>
        <w:spacing w:line="242" w:lineRule="auto"/>
        <w:rPr>
          <w:lang w:eastAsia="zh-CN"/>
        </w:rPr>
      </w:pPr>
    </w:p>
    <w:p>
      <w:pPr>
        <w:pStyle w:val="3"/>
        <w:keepNext w:val="0"/>
        <w:keepLines w:val="0"/>
        <w:pageBreakBefore w:val="0"/>
        <w:widowControl w:val="0"/>
        <w:wordWrap/>
        <w:overflowPunct/>
        <w:topLinePunct w:val="0"/>
        <w:bidi w:val="0"/>
        <w:spacing w:line="242" w:lineRule="auto"/>
        <w:rPr>
          <w:lang w:eastAsia="zh-CN"/>
        </w:rPr>
      </w:pPr>
    </w:p>
    <w:p>
      <w:pPr>
        <w:pStyle w:val="3"/>
        <w:keepNext w:val="0"/>
        <w:keepLines w:val="0"/>
        <w:pageBreakBefore w:val="0"/>
        <w:widowControl w:val="0"/>
        <w:wordWrap/>
        <w:overflowPunct/>
        <w:topLinePunct w:val="0"/>
        <w:bidi w:val="0"/>
        <w:spacing w:line="242" w:lineRule="auto"/>
        <w:rPr>
          <w:lang w:eastAsia="zh-CN"/>
        </w:rPr>
      </w:pPr>
    </w:p>
    <w:p>
      <w:pPr>
        <w:pStyle w:val="3"/>
        <w:keepNext w:val="0"/>
        <w:keepLines w:val="0"/>
        <w:pageBreakBefore w:val="0"/>
        <w:widowControl w:val="0"/>
        <w:wordWrap/>
        <w:overflowPunct/>
        <w:topLinePunct w:val="0"/>
        <w:bidi w:val="0"/>
        <w:spacing w:line="242" w:lineRule="auto"/>
        <w:rPr>
          <w:lang w:eastAsia="zh-CN"/>
        </w:rPr>
      </w:pPr>
    </w:p>
    <w:p>
      <w:pPr>
        <w:pStyle w:val="3"/>
        <w:keepNext w:val="0"/>
        <w:keepLines w:val="0"/>
        <w:pageBreakBefore w:val="0"/>
        <w:widowControl w:val="0"/>
        <w:wordWrap/>
        <w:overflowPunct/>
        <w:topLinePunct w:val="0"/>
        <w:bidi w:val="0"/>
        <w:spacing w:line="242" w:lineRule="auto"/>
        <w:rPr>
          <w:lang w:eastAsia="zh-CN"/>
        </w:rPr>
      </w:pPr>
    </w:p>
    <w:p>
      <w:pPr>
        <w:pStyle w:val="3"/>
        <w:keepNext w:val="0"/>
        <w:keepLines w:val="0"/>
        <w:pageBreakBefore w:val="0"/>
        <w:widowControl w:val="0"/>
        <w:wordWrap/>
        <w:overflowPunct/>
        <w:topLinePunct w:val="0"/>
        <w:bidi w:val="0"/>
        <w:spacing w:line="242" w:lineRule="auto"/>
        <w:rPr>
          <w:lang w:eastAsia="zh-CN"/>
        </w:rPr>
      </w:pPr>
    </w:p>
    <w:p>
      <w:pPr>
        <w:pStyle w:val="3"/>
        <w:keepNext w:val="0"/>
        <w:keepLines w:val="0"/>
        <w:pageBreakBefore w:val="0"/>
        <w:widowControl w:val="0"/>
        <w:wordWrap/>
        <w:overflowPunct/>
        <w:topLinePunct w:val="0"/>
        <w:bidi w:val="0"/>
        <w:spacing w:line="242" w:lineRule="auto"/>
        <w:rPr>
          <w:lang w:eastAsia="zh-CN"/>
        </w:rPr>
      </w:pPr>
    </w:p>
    <w:p>
      <w:pPr>
        <w:pStyle w:val="3"/>
        <w:keepNext w:val="0"/>
        <w:keepLines w:val="0"/>
        <w:pageBreakBefore w:val="0"/>
        <w:widowControl w:val="0"/>
        <w:wordWrap/>
        <w:overflowPunct/>
        <w:topLinePunct w:val="0"/>
        <w:bidi w:val="0"/>
        <w:spacing w:line="242" w:lineRule="auto"/>
        <w:rPr>
          <w:lang w:eastAsia="zh-CN"/>
        </w:rPr>
      </w:pPr>
    </w:p>
    <w:p>
      <w:pPr>
        <w:pStyle w:val="3"/>
        <w:keepNext w:val="0"/>
        <w:keepLines w:val="0"/>
        <w:pageBreakBefore w:val="0"/>
        <w:widowControl w:val="0"/>
        <w:wordWrap/>
        <w:overflowPunct/>
        <w:topLinePunct w:val="0"/>
        <w:bidi w:val="0"/>
        <w:spacing w:line="242" w:lineRule="auto"/>
        <w:rPr>
          <w:lang w:eastAsia="zh-CN"/>
        </w:rPr>
      </w:pPr>
    </w:p>
    <w:p>
      <w:pPr>
        <w:pStyle w:val="3"/>
        <w:keepNext w:val="0"/>
        <w:keepLines w:val="0"/>
        <w:pageBreakBefore w:val="0"/>
        <w:widowControl w:val="0"/>
        <w:wordWrap/>
        <w:overflowPunct/>
        <w:topLinePunct w:val="0"/>
        <w:bidi w:val="0"/>
        <w:spacing w:line="242" w:lineRule="auto"/>
        <w:rPr>
          <w:lang w:eastAsia="zh-CN"/>
        </w:rPr>
      </w:pPr>
      <w:r>
        <w:rPr>
          <w:snapToGrid w:val="0"/>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157480</wp:posOffset>
                </wp:positionV>
                <wp:extent cx="5760085" cy="10795"/>
                <wp:effectExtent l="9525" t="5080" r="12065" b="3175"/>
                <wp:wrapNone/>
                <wp:docPr id="2059867008" name="任意多边形: 形状 1"/>
                <wp:cNvGraphicFramePr/>
                <a:graphic xmlns:a="http://schemas.openxmlformats.org/drawingml/2006/main">
                  <a:graphicData uri="http://schemas.microsoft.com/office/word/2010/wordprocessingShape">
                    <wps:wsp>
                      <wps:cNvSpPr>
                        <a:spLocks noChangeArrowheads="true"/>
                      </wps:cNvSpPr>
                      <wps:spPr bwMode="auto">
                        <a:xfrm>
                          <a:off x="0" y="0"/>
                          <a:ext cx="5760085" cy="10795"/>
                        </a:xfrm>
                        <a:custGeom>
                          <a:avLst/>
                          <a:gdLst>
                            <a:gd name="T0" fmla="*/ 0 w 9070"/>
                            <a:gd name="T1" fmla="*/ 7 h 17"/>
                            <a:gd name="T2" fmla="*/ 9070 w 9070"/>
                            <a:gd name="T3" fmla="*/ 8 h 17"/>
                          </a:gdLst>
                          <a:ahLst/>
                          <a:cxnLst>
                            <a:cxn ang="0">
                              <a:pos x="T0" y="T1"/>
                            </a:cxn>
                            <a:cxn ang="0">
                              <a:pos x="T2" y="T3"/>
                            </a:cxn>
                          </a:cxnLst>
                          <a:rect l="0" t="0" r="r" b="b"/>
                          <a:pathLst>
                            <a:path w="9070" h="17">
                              <a:moveTo>
                                <a:pt x="0" y="7"/>
                              </a:moveTo>
                              <a:lnTo>
                                <a:pt x="9070" y="8"/>
                              </a:lnTo>
                            </a:path>
                          </a:pathLst>
                        </a:custGeom>
                        <a:noFill/>
                        <a:ln w="9525">
                          <a:solidFill>
                            <a:srgbClr val="080000"/>
                          </a:solidFill>
                          <a:round/>
                        </a:ln>
                      </wps:spPr>
                      <wps:bodyPr rot="0" vert="horz" wrap="square" lIns="91440" tIns="45720" rIns="91440" bIns="45720" anchor="t" anchorCtr="false" upright="true">
                        <a:noAutofit/>
                      </wps:bodyPr>
                    </wps:wsp>
                  </a:graphicData>
                </a:graphic>
              </wp:anchor>
            </w:drawing>
          </mc:Choice>
          <mc:Fallback>
            <w:pict>
              <v:shape id="任意多边形: 形状 1" o:spid="_x0000_s1026" o:spt="100" style="position:absolute;left:0pt;margin-left:0.75pt;margin-top:12.4pt;height:0.85pt;width:453.55pt;z-index:251660288;mso-width-relative:page;mso-height-relative:page;" filled="f" stroked="t" coordsize="9070,17" o:gfxdata="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" path="m0,7l9070,8e">
                <v:path o:connectlocs="0,4445;5760085,5080" o:connectangles="0,0"/>
                <v:fill on="f" focussize="0,0"/>
                <v:stroke color="#080000" joinstyle="round"/>
                <v:imagedata o:title=""/>
                <o:lock v:ext="edit" aspectratio="f"/>
              </v:shape>
            </w:pict>
          </mc:Fallback>
        </mc:AlternateContent>
      </w:r>
    </w:p>
    <w:p>
      <w:pPr>
        <w:pStyle w:val="3"/>
        <w:keepNext w:val="0"/>
        <w:keepLines w:val="0"/>
        <w:pageBreakBefore w:val="0"/>
        <w:widowControl w:val="0"/>
        <w:wordWrap/>
        <w:overflowPunct/>
        <w:topLinePunct w:val="0"/>
        <w:bidi w:val="0"/>
        <w:spacing w:line="242" w:lineRule="auto"/>
        <w:rPr>
          <w:lang w:eastAsia="zh-CN"/>
        </w:rPr>
      </w:pPr>
    </w:p>
    <w:p>
      <w:pPr>
        <w:keepNext w:val="0"/>
        <w:keepLines w:val="0"/>
        <w:pageBreakBefore w:val="0"/>
        <w:widowControl w:val="0"/>
        <w:wordWrap/>
        <w:overflowPunct/>
        <w:topLinePunct w:val="0"/>
        <w:bidi w:val="0"/>
        <w:rPr>
          <w:rFonts w:hint="eastAsia" w:ascii="黑体" w:hAnsi="黑体" w:eastAsia="黑体" w:cs="黑体"/>
          <w:spacing w:val="28"/>
          <w:sz w:val="28"/>
          <w:szCs w:val="28"/>
        </w:rPr>
      </w:pPr>
      <w:r>
        <w:rPr>
          <w:rFonts w:ascii="黑体" w:hAnsi="黑体" w:eastAsia="黑体" w:cs="黑体"/>
          <w:spacing w:val="28"/>
          <w:sz w:val="28"/>
          <w:szCs w:val="28"/>
        </w:rPr>
        <w:t>深圳市</w:t>
      </w:r>
      <w:r>
        <w:rPr>
          <w:rFonts w:hint="eastAsia" w:ascii="黑体" w:hAnsi="黑体" w:eastAsia="黑体" w:cs="黑体"/>
          <w:spacing w:val="28"/>
          <w:sz w:val="28"/>
          <w:szCs w:val="28"/>
        </w:rPr>
        <w:t>应急</w:t>
      </w:r>
      <w:r>
        <w:rPr>
          <w:rFonts w:ascii="黑体" w:hAnsi="黑体" w:eastAsia="黑体" w:cs="黑体"/>
          <w:spacing w:val="28"/>
          <w:sz w:val="28"/>
          <w:szCs w:val="28"/>
        </w:rPr>
        <w:t>管理局</w:t>
      </w:r>
      <w:r>
        <w:rPr>
          <w:rFonts w:ascii="黑体" w:hAnsi="黑体" w:eastAsia="黑体" w:cs="黑体"/>
          <w:spacing w:val="1"/>
          <w:sz w:val="28"/>
          <w:szCs w:val="28"/>
        </w:rPr>
        <w:t xml:space="preserve">                  </w:t>
      </w:r>
      <w:r>
        <w:rPr>
          <w:rFonts w:hint="eastAsia" w:ascii="黑体" w:hAnsi="黑体" w:eastAsia="黑体" w:cs="黑体"/>
          <w:spacing w:val="1"/>
          <w:sz w:val="28"/>
          <w:szCs w:val="28"/>
        </w:rPr>
        <w:t xml:space="preserve">           </w:t>
      </w:r>
      <w:r>
        <w:rPr>
          <w:rFonts w:ascii="黑体" w:hAnsi="黑体" w:eastAsia="黑体" w:cs="黑体"/>
          <w:spacing w:val="28"/>
          <w:sz w:val="28"/>
          <w:szCs w:val="28"/>
        </w:rPr>
        <w:t>20</w:t>
      </w:r>
      <w:r>
        <w:rPr>
          <w:rFonts w:hint="eastAsia" w:ascii="黑体" w:hAnsi="黑体" w:eastAsia="黑体" w:cs="黑体"/>
          <w:spacing w:val="28"/>
          <w:sz w:val="28"/>
          <w:szCs w:val="28"/>
        </w:rPr>
        <w:t>25</w:t>
      </w:r>
      <w:r>
        <w:rPr>
          <w:rFonts w:ascii="黑体" w:hAnsi="黑体" w:eastAsia="黑体" w:cs="黑体"/>
          <w:spacing w:val="28"/>
          <w:sz w:val="28"/>
          <w:szCs w:val="28"/>
        </w:rPr>
        <w:t>年</w:t>
      </w:r>
      <w:r>
        <w:rPr>
          <w:rFonts w:hint="eastAsia" w:ascii="黑体" w:hAnsi="黑体" w:eastAsia="黑体" w:cs="黑体"/>
          <w:spacing w:val="28"/>
          <w:sz w:val="28"/>
          <w:szCs w:val="28"/>
        </w:rPr>
        <w:t>XX</w:t>
      </w:r>
      <w:r>
        <w:rPr>
          <w:rFonts w:ascii="黑体" w:hAnsi="黑体" w:eastAsia="黑体" w:cs="黑体"/>
          <w:spacing w:val="28"/>
          <w:sz w:val="28"/>
          <w:szCs w:val="28"/>
        </w:rPr>
        <w:t>月</w:t>
      </w:r>
    </w:p>
    <w:p>
      <w:pPr>
        <w:keepNext w:val="0"/>
        <w:keepLines w:val="0"/>
        <w:pageBreakBefore w:val="0"/>
        <w:widowControl w:val="0"/>
        <w:wordWrap/>
        <w:overflowPunct/>
        <w:topLinePunct w:val="0"/>
        <w:bidi w:val="0"/>
        <w:jc w:val="left"/>
        <w:rPr>
          <w:rFonts w:hint="eastAsia" w:ascii="黑体" w:hAnsi="黑体" w:eastAsia="黑体" w:cs="黑体"/>
          <w:spacing w:val="28"/>
          <w:sz w:val="28"/>
          <w:szCs w:val="28"/>
        </w:rPr>
      </w:pPr>
      <w:r>
        <w:rPr>
          <w:rFonts w:hint="eastAsia" w:ascii="黑体" w:hAnsi="黑体" w:eastAsia="黑体" w:cs="黑体"/>
          <w:spacing w:val="28"/>
          <w:sz w:val="28"/>
          <w:szCs w:val="28"/>
        </w:rPr>
        <w:br w:type="page"/>
      </w:r>
    </w:p>
    <w:p>
      <w:pPr>
        <w:keepNext w:val="0"/>
        <w:keepLines w:val="0"/>
        <w:pageBreakBefore w:val="0"/>
        <w:widowControl w:val="0"/>
        <w:wordWrap/>
        <w:overflowPunct/>
        <w:topLinePunct w:val="0"/>
        <w:bidi w:val="0"/>
      </w:pPr>
    </w:p>
    <w:sdt>
      <w:sdtPr>
        <w:rPr>
          <w:rFonts w:ascii="宋体" w:hAnsi="宋体" w:eastAsia="宋体"/>
        </w:rPr>
        <w:id w:val="308213637"/>
        <w15:color w:val="DBDBDB"/>
        <w:docPartObj>
          <w:docPartGallery w:val="Table of Contents"/>
          <w:docPartUnique/>
        </w:docPartObj>
      </w:sdtPr>
      <w:sdtEndPr>
        <w:rPr>
          <w:rFonts w:asciiTheme="minorHAnsi" w:hAnsiTheme="minorHAnsi" w:eastAsiaTheme="minorEastAsia"/>
          <w:szCs w:val="28"/>
        </w:rPr>
      </w:sdtEndPr>
      <w:sdtContent>
        <w:p>
          <w:pPr>
            <w:keepNext w:val="0"/>
            <w:keepLines w:val="0"/>
            <w:pageBreakBefore w:val="0"/>
            <w:widowControl w:val="0"/>
            <w:wordWrap/>
            <w:overflowPunct/>
            <w:topLinePunct w:val="0"/>
            <w:bidi w:val="0"/>
            <w:spacing w:after="240" w:afterLines="100"/>
            <w:jc w:val="center"/>
          </w:pPr>
          <w:r>
            <w:rPr>
              <w:rFonts w:hint="eastAsia" w:ascii="黑体" w:hAnsi="黑体" w:eastAsia="黑体" w:cs="黑体"/>
              <w:sz w:val="48"/>
              <w:szCs w:val="48"/>
            </w:rPr>
            <w:t>目录</w:t>
          </w:r>
        </w:p>
        <w:p>
          <w:pPr>
            <w:pStyle w:val="7"/>
            <w:keepNext w:val="0"/>
            <w:keepLines w:val="0"/>
            <w:pageBreakBefore w:val="0"/>
            <w:widowControl w:val="0"/>
            <w:tabs>
              <w:tab w:val="right" w:leader="dot" w:pos="8831"/>
            </w:tabs>
            <w:wordWrap/>
            <w:overflowPunct/>
            <w:topLinePunct w:val="0"/>
            <w:bidi w:val="0"/>
            <w:rPr>
              <w:sz w:val="32"/>
              <w:szCs w:val="32"/>
              <w14:ligatures w14:val="standardContextual"/>
            </w:rPr>
          </w:pPr>
          <w:r>
            <w:rPr>
              <w:sz w:val="32"/>
              <w:szCs w:val="32"/>
            </w:rPr>
            <w:fldChar w:fldCharType="begin"/>
          </w:r>
          <w:r>
            <w:rPr>
              <w:sz w:val="32"/>
              <w:szCs w:val="32"/>
            </w:rPr>
            <w:instrText xml:space="preserve">TOC \o "1-3" \h \u </w:instrText>
          </w:r>
          <w:r>
            <w:rPr>
              <w:sz w:val="32"/>
              <w:szCs w:val="32"/>
            </w:rPr>
            <w:fldChar w:fldCharType="separate"/>
          </w:r>
          <w:r>
            <w:fldChar w:fldCharType="begin"/>
          </w:r>
          <w:r>
            <w:instrText xml:space="preserve"> HYPERLINK \l "_Toc207271446" </w:instrText>
          </w:r>
          <w:r>
            <w:fldChar w:fldCharType="separate"/>
          </w:r>
          <w:r>
            <w:rPr>
              <w:rStyle w:val="13"/>
              <w:rFonts w:hint="eastAsia" w:ascii="黑体" w:hAnsi="黑体" w:eastAsia="黑体" w:cs="黑体"/>
              <w:snapToGrid w:val="0"/>
              <w:color w:val="auto"/>
              <w:spacing w:val="-8"/>
              <w:kern w:val="0"/>
              <w:sz w:val="32"/>
              <w:szCs w:val="32"/>
            </w:rPr>
            <w:t>1 范围</w:t>
          </w:r>
          <w:r>
            <w:rPr>
              <w:rFonts w:hint="eastAsia"/>
              <w:sz w:val="32"/>
              <w:szCs w:val="32"/>
            </w:rPr>
            <w:tab/>
          </w:r>
          <w:r>
            <w:rPr>
              <w:rFonts w:hint="eastAsia"/>
              <w:sz w:val="32"/>
              <w:szCs w:val="32"/>
            </w:rPr>
            <w:fldChar w:fldCharType="begin"/>
          </w:r>
          <w:r>
            <w:rPr>
              <w:rFonts w:hint="eastAsia"/>
              <w:sz w:val="32"/>
              <w:szCs w:val="32"/>
            </w:rPr>
            <w:instrText xml:space="preserve"> </w:instrText>
          </w:r>
          <w:r>
            <w:rPr>
              <w:sz w:val="32"/>
              <w:szCs w:val="32"/>
            </w:rPr>
            <w:instrText xml:space="preserve">PAGEREF _Toc207271446 \h</w:instrText>
          </w:r>
          <w:r>
            <w:rPr>
              <w:rFonts w:hint="eastAsia"/>
              <w:sz w:val="32"/>
              <w:szCs w:val="32"/>
            </w:rPr>
            <w:instrText xml:space="preserve"> </w:instrText>
          </w:r>
          <w:r>
            <w:rPr>
              <w:rFonts w:hint="eastAsia"/>
              <w:sz w:val="32"/>
              <w:szCs w:val="32"/>
            </w:rPr>
            <w:fldChar w:fldCharType="separate"/>
          </w:r>
          <w:r>
            <w:rPr>
              <w:sz w:val="32"/>
              <w:szCs w:val="32"/>
            </w:rPr>
            <w:t>1</w:t>
          </w:r>
          <w:r>
            <w:rPr>
              <w:rFonts w:hint="eastAsia"/>
              <w:sz w:val="32"/>
              <w:szCs w:val="32"/>
            </w:rPr>
            <w:fldChar w:fldCharType="end"/>
          </w:r>
          <w:r>
            <w:rPr>
              <w:rFonts w:hint="eastAsia"/>
              <w:sz w:val="32"/>
              <w:szCs w:val="32"/>
            </w:rPr>
            <w:fldChar w:fldCharType="end"/>
          </w:r>
        </w:p>
        <w:p>
          <w:pPr>
            <w:pStyle w:val="7"/>
            <w:keepNext w:val="0"/>
            <w:keepLines w:val="0"/>
            <w:pageBreakBefore w:val="0"/>
            <w:widowControl w:val="0"/>
            <w:tabs>
              <w:tab w:val="right" w:leader="dot" w:pos="8831"/>
            </w:tabs>
            <w:wordWrap/>
            <w:overflowPunct/>
            <w:topLinePunct w:val="0"/>
            <w:bidi w:val="0"/>
            <w:rPr>
              <w:sz w:val="32"/>
              <w:szCs w:val="32"/>
              <w14:ligatures w14:val="standardContextual"/>
            </w:rPr>
          </w:pPr>
          <w:r>
            <w:fldChar w:fldCharType="begin"/>
          </w:r>
          <w:r>
            <w:instrText xml:space="preserve"> HYPERLINK \l "_Toc207271447" </w:instrText>
          </w:r>
          <w:r>
            <w:fldChar w:fldCharType="separate"/>
          </w:r>
          <w:r>
            <w:rPr>
              <w:rStyle w:val="13"/>
              <w:rFonts w:hint="eastAsia" w:ascii="黑体" w:hAnsi="黑体" w:eastAsia="黑体" w:cs="黑体"/>
              <w:snapToGrid w:val="0"/>
              <w:color w:val="auto"/>
              <w:spacing w:val="-8"/>
              <w:kern w:val="0"/>
              <w:sz w:val="32"/>
              <w:szCs w:val="32"/>
            </w:rPr>
            <w:t>2 编制依据</w:t>
          </w:r>
          <w:r>
            <w:rPr>
              <w:rFonts w:hint="eastAsia"/>
              <w:sz w:val="32"/>
              <w:szCs w:val="32"/>
            </w:rPr>
            <w:tab/>
          </w:r>
          <w:r>
            <w:rPr>
              <w:rFonts w:hint="eastAsia"/>
              <w:sz w:val="32"/>
              <w:szCs w:val="32"/>
            </w:rPr>
            <w:fldChar w:fldCharType="begin"/>
          </w:r>
          <w:r>
            <w:rPr>
              <w:rFonts w:hint="eastAsia"/>
              <w:sz w:val="32"/>
              <w:szCs w:val="32"/>
            </w:rPr>
            <w:instrText xml:space="preserve"> </w:instrText>
          </w:r>
          <w:r>
            <w:rPr>
              <w:sz w:val="32"/>
              <w:szCs w:val="32"/>
            </w:rPr>
            <w:instrText xml:space="preserve">PAGEREF _Toc207271447 \h</w:instrText>
          </w:r>
          <w:r>
            <w:rPr>
              <w:rFonts w:hint="eastAsia"/>
              <w:sz w:val="32"/>
              <w:szCs w:val="32"/>
            </w:rPr>
            <w:instrText xml:space="preserve"> </w:instrText>
          </w:r>
          <w:r>
            <w:rPr>
              <w:rFonts w:hint="eastAsia"/>
              <w:sz w:val="32"/>
              <w:szCs w:val="32"/>
            </w:rPr>
            <w:fldChar w:fldCharType="separate"/>
          </w:r>
          <w:r>
            <w:rPr>
              <w:sz w:val="32"/>
              <w:szCs w:val="32"/>
            </w:rPr>
            <w:t>1</w:t>
          </w:r>
          <w:r>
            <w:rPr>
              <w:rFonts w:hint="eastAsia"/>
              <w:sz w:val="32"/>
              <w:szCs w:val="32"/>
            </w:rPr>
            <w:fldChar w:fldCharType="end"/>
          </w:r>
          <w:r>
            <w:rPr>
              <w:rFonts w:hint="eastAsia"/>
              <w:sz w:val="32"/>
              <w:szCs w:val="32"/>
            </w:rPr>
            <w:fldChar w:fldCharType="end"/>
          </w:r>
        </w:p>
        <w:p>
          <w:pPr>
            <w:pStyle w:val="7"/>
            <w:keepNext w:val="0"/>
            <w:keepLines w:val="0"/>
            <w:pageBreakBefore w:val="0"/>
            <w:widowControl w:val="0"/>
            <w:tabs>
              <w:tab w:val="right" w:leader="dot" w:pos="8831"/>
            </w:tabs>
            <w:wordWrap/>
            <w:overflowPunct/>
            <w:topLinePunct w:val="0"/>
            <w:bidi w:val="0"/>
            <w:rPr>
              <w:sz w:val="32"/>
              <w:szCs w:val="32"/>
              <w14:ligatures w14:val="standardContextual"/>
            </w:rPr>
          </w:pPr>
          <w:r>
            <w:fldChar w:fldCharType="begin"/>
          </w:r>
          <w:r>
            <w:instrText xml:space="preserve"> HYPERLINK \l "_Toc207271448" </w:instrText>
          </w:r>
          <w:r>
            <w:fldChar w:fldCharType="separate"/>
          </w:r>
          <w:r>
            <w:rPr>
              <w:rStyle w:val="13"/>
              <w:rFonts w:hint="eastAsia" w:ascii="黑体" w:hAnsi="黑体" w:eastAsia="黑体" w:cs="黑体"/>
              <w:snapToGrid w:val="0"/>
              <w:color w:val="auto"/>
              <w:spacing w:val="-8"/>
              <w:kern w:val="0"/>
              <w:sz w:val="32"/>
              <w:szCs w:val="32"/>
            </w:rPr>
            <w:t>3 术语和定义</w:t>
          </w:r>
          <w:r>
            <w:rPr>
              <w:rFonts w:hint="eastAsia"/>
              <w:sz w:val="32"/>
              <w:szCs w:val="32"/>
            </w:rPr>
            <w:tab/>
          </w:r>
          <w:r>
            <w:rPr>
              <w:rFonts w:hint="eastAsia"/>
              <w:sz w:val="32"/>
              <w:szCs w:val="32"/>
            </w:rPr>
            <w:fldChar w:fldCharType="begin"/>
          </w:r>
          <w:r>
            <w:rPr>
              <w:rFonts w:hint="eastAsia"/>
              <w:sz w:val="32"/>
              <w:szCs w:val="32"/>
            </w:rPr>
            <w:instrText xml:space="preserve"> </w:instrText>
          </w:r>
          <w:r>
            <w:rPr>
              <w:sz w:val="32"/>
              <w:szCs w:val="32"/>
            </w:rPr>
            <w:instrText xml:space="preserve">PAGEREF _Toc207271448 \h</w:instrText>
          </w:r>
          <w:r>
            <w:rPr>
              <w:rFonts w:hint="eastAsia"/>
              <w:sz w:val="32"/>
              <w:szCs w:val="32"/>
            </w:rPr>
            <w:instrText xml:space="preserve"> </w:instrText>
          </w:r>
          <w:r>
            <w:rPr>
              <w:rFonts w:hint="eastAsia"/>
              <w:sz w:val="32"/>
              <w:szCs w:val="32"/>
            </w:rPr>
            <w:fldChar w:fldCharType="separate"/>
          </w:r>
          <w:r>
            <w:rPr>
              <w:sz w:val="32"/>
              <w:szCs w:val="32"/>
            </w:rPr>
            <w:t>1</w:t>
          </w:r>
          <w:r>
            <w:rPr>
              <w:rFonts w:hint="eastAsia"/>
              <w:sz w:val="32"/>
              <w:szCs w:val="32"/>
            </w:rPr>
            <w:fldChar w:fldCharType="end"/>
          </w:r>
          <w:r>
            <w:rPr>
              <w:rFonts w:hint="eastAsia"/>
              <w:sz w:val="32"/>
              <w:szCs w:val="32"/>
            </w:rPr>
            <w:fldChar w:fldCharType="end"/>
          </w:r>
        </w:p>
        <w:p>
          <w:pPr>
            <w:pStyle w:val="7"/>
            <w:keepNext w:val="0"/>
            <w:keepLines w:val="0"/>
            <w:pageBreakBefore w:val="0"/>
            <w:widowControl w:val="0"/>
            <w:tabs>
              <w:tab w:val="right" w:leader="dot" w:pos="8831"/>
            </w:tabs>
            <w:wordWrap/>
            <w:overflowPunct/>
            <w:topLinePunct w:val="0"/>
            <w:bidi w:val="0"/>
            <w:rPr>
              <w:sz w:val="32"/>
              <w:szCs w:val="32"/>
              <w14:ligatures w14:val="standardContextual"/>
            </w:rPr>
          </w:pPr>
          <w:r>
            <w:fldChar w:fldCharType="begin"/>
          </w:r>
          <w:r>
            <w:instrText xml:space="preserve"> HYPERLINK \l "_Toc207271449" </w:instrText>
          </w:r>
          <w:r>
            <w:fldChar w:fldCharType="separate"/>
          </w:r>
          <w:r>
            <w:rPr>
              <w:rStyle w:val="13"/>
              <w:rFonts w:hint="eastAsia" w:ascii="黑体" w:hAnsi="黑体" w:eastAsia="黑体" w:cs="黑体"/>
              <w:snapToGrid w:val="0"/>
              <w:color w:val="auto"/>
              <w:spacing w:val="-8"/>
              <w:kern w:val="0"/>
              <w:sz w:val="32"/>
              <w:szCs w:val="32"/>
            </w:rPr>
            <w:t>4 培训大纲</w:t>
          </w:r>
          <w:r>
            <w:rPr>
              <w:rFonts w:hint="eastAsia"/>
              <w:sz w:val="32"/>
              <w:szCs w:val="32"/>
            </w:rPr>
            <w:tab/>
          </w:r>
          <w:r>
            <w:rPr>
              <w:rFonts w:hint="eastAsia"/>
              <w:sz w:val="32"/>
              <w:szCs w:val="32"/>
            </w:rPr>
            <w:fldChar w:fldCharType="begin"/>
          </w:r>
          <w:r>
            <w:rPr>
              <w:rFonts w:hint="eastAsia"/>
              <w:sz w:val="32"/>
              <w:szCs w:val="32"/>
            </w:rPr>
            <w:instrText xml:space="preserve"> </w:instrText>
          </w:r>
          <w:r>
            <w:rPr>
              <w:sz w:val="32"/>
              <w:szCs w:val="32"/>
            </w:rPr>
            <w:instrText xml:space="preserve">PAGEREF _Toc207271449 \h</w:instrText>
          </w:r>
          <w:r>
            <w:rPr>
              <w:rFonts w:hint="eastAsia"/>
              <w:sz w:val="32"/>
              <w:szCs w:val="32"/>
            </w:rPr>
            <w:instrText xml:space="preserve"> </w:instrText>
          </w:r>
          <w:r>
            <w:rPr>
              <w:rFonts w:hint="eastAsia"/>
              <w:sz w:val="32"/>
              <w:szCs w:val="32"/>
            </w:rPr>
            <w:fldChar w:fldCharType="separate"/>
          </w:r>
          <w:r>
            <w:rPr>
              <w:sz w:val="32"/>
              <w:szCs w:val="32"/>
            </w:rPr>
            <w:t>2</w:t>
          </w:r>
          <w:r>
            <w:rPr>
              <w:rFonts w:hint="eastAsia"/>
              <w:sz w:val="32"/>
              <w:szCs w:val="32"/>
            </w:rPr>
            <w:fldChar w:fldCharType="end"/>
          </w:r>
          <w:r>
            <w:rPr>
              <w:rFonts w:hint="eastAsia"/>
              <w:sz w:val="32"/>
              <w:szCs w:val="32"/>
            </w:rPr>
            <w:fldChar w:fldCharType="end"/>
          </w:r>
        </w:p>
        <w:p>
          <w:pPr>
            <w:pStyle w:val="7"/>
            <w:keepNext w:val="0"/>
            <w:keepLines w:val="0"/>
            <w:pageBreakBefore w:val="0"/>
            <w:widowControl w:val="0"/>
            <w:tabs>
              <w:tab w:val="right" w:leader="dot" w:pos="8831"/>
            </w:tabs>
            <w:wordWrap/>
            <w:overflowPunct/>
            <w:topLinePunct w:val="0"/>
            <w:bidi w:val="0"/>
            <w:rPr>
              <w:sz w:val="32"/>
              <w:szCs w:val="32"/>
              <w14:ligatures w14:val="standardContextual"/>
            </w:rPr>
          </w:pPr>
          <w:r>
            <w:fldChar w:fldCharType="begin"/>
          </w:r>
          <w:r>
            <w:instrText xml:space="preserve"> HYPERLINK \l "_Toc207271450" </w:instrText>
          </w:r>
          <w:r>
            <w:fldChar w:fldCharType="separate"/>
          </w:r>
          <w:r>
            <w:rPr>
              <w:rStyle w:val="13"/>
              <w:rFonts w:hint="eastAsia" w:ascii="黑体" w:hAnsi="黑体" w:eastAsia="黑体" w:cs="黑体"/>
              <w:snapToGrid w:val="0"/>
              <w:color w:val="auto"/>
              <w:spacing w:val="-8"/>
              <w:kern w:val="0"/>
              <w:sz w:val="32"/>
              <w:szCs w:val="32"/>
            </w:rPr>
            <w:t>5 考核标准</w:t>
          </w:r>
          <w:r>
            <w:rPr>
              <w:rFonts w:hint="eastAsia"/>
              <w:sz w:val="32"/>
              <w:szCs w:val="32"/>
            </w:rPr>
            <w:tab/>
          </w:r>
          <w:r>
            <w:rPr>
              <w:rFonts w:hint="eastAsia"/>
              <w:sz w:val="32"/>
              <w:szCs w:val="32"/>
            </w:rPr>
            <w:fldChar w:fldCharType="begin"/>
          </w:r>
          <w:r>
            <w:rPr>
              <w:rFonts w:hint="eastAsia"/>
              <w:sz w:val="32"/>
              <w:szCs w:val="32"/>
            </w:rPr>
            <w:instrText xml:space="preserve"> </w:instrText>
          </w:r>
          <w:r>
            <w:rPr>
              <w:sz w:val="32"/>
              <w:szCs w:val="32"/>
            </w:rPr>
            <w:instrText xml:space="preserve">PAGEREF _Toc207271450 \h</w:instrText>
          </w:r>
          <w:r>
            <w:rPr>
              <w:rFonts w:hint="eastAsia"/>
              <w:sz w:val="32"/>
              <w:szCs w:val="32"/>
            </w:rPr>
            <w:instrText xml:space="preserve"> </w:instrText>
          </w:r>
          <w:r>
            <w:rPr>
              <w:rFonts w:hint="eastAsia"/>
              <w:sz w:val="32"/>
              <w:szCs w:val="32"/>
            </w:rPr>
            <w:fldChar w:fldCharType="separate"/>
          </w:r>
          <w:r>
            <w:rPr>
              <w:sz w:val="32"/>
              <w:szCs w:val="32"/>
            </w:rPr>
            <w:t>7</w:t>
          </w:r>
          <w:r>
            <w:rPr>
              <w:rFonts w:hint="eastAsia"/>
              <w:sz w:val="32"/>
              <w:szCs w:val="32"/>
            </w:rPr>
            <w:fldChar w:fldCharType="end"/>
          </w:r>
          <w:r>
            <w:rPr>
              <w:rFonts w:hint="eastAsia"/>
              <w:sz w:val="32"/>
              <w:szCs w:val="32"/>
            </w:rPr>
            <w:fldChar w:fldCharType="end"/>
          </w:r>
        </w:p>
        <w:p>
          <w:pPr>
            <w:pStyle w:val="7"/>
            <w:keepNext w:val="0"/>
            <w:keepLines w:val="0"/>
            <w:pageBreakBefore w:val="0"/>
            <w:widowControl w:val="0"/>
            <w:tabs>
              <w:tab w:val="right" w:leader="dot" w:pos="8831"/>
            </w:tabs>
            <w:wordWrap/>
            <w:overflowPunct/>
            <w:topLinePunct w:val="0"/>
            <w:bidi w:val="0"/>
            <w:rPr>
              <w:sz w:val="32"/>
              <w:szCs w:val="32"/>
              <w14:ligatures w14:val="standardContextual"/>
            </w:rPr>
          </w:pPr>
          <w:r>
            <w:fldChar w:fldCharType="begin"/>
          </w:r>
          <w:r>
            <w:instrText xml:space="preserve"> HYPERLINK \l "_Toc207271451" </w:instrText>
          </w:r>
          <w:r>
            <w:fldChar w:fldCharType="separate"/>
          </w:r>
          <w:r>
            <w:rPr>
              <w:rStyle w:val="13"/>
              <w:rFonts w:hint="eastAsia" w:ascii="黑体" w:hAnsi="黑体" w:eastAsia="黑体" w:cs="黑体"/>
              <w:color w:val="auto"/>
              <w:spacing w:val="-8"/>
              <w:sz w:val="32"/>
              <w:szCs w:val="32"/>
            </w:rPr>
            <w:t>6 再培训要求和要点</w:t>
          </w:r>
          <w:r>
            <w:rPr>
              <w:rFonts w:hint="eastAsia"/>
              <w:sz w:val="32"/>
              <w:szCs w:val="32"/>
            </w:rPr>
            <w:tab/>
          </w:r>
          <w:r>
            <w:rPr>
              <w:rFonts w:hint="eastAsia"/>
              <w:sz w:val="32"/>
              <w:szCs w:val="32"/>
            </w:rPr>
            <w:fldChar w:fldCharType="begin"/>
          </w:r>
          <w:r>
            <w:rPr>
              <w:rFonts w:hint="eastAsia"/>
              <w:sz w:val="32"/>
              <w:szCs w:val="32"/>
            </w:rPr>
            <w:instrText xml:space="preserve"> </w:instrText>
          </w:r>
          <w:r>
            <w:rPr>
              <w:sz w:val="32"/>
              <w:szCs w:val="32"/>
            </w:rPr>
            <w:instrText xml:space="preserve">PAGEREF _Toc207271451 \h</w:instrText>
          </w:r>
          <w:r>
            <w:rPr>
              <w:rFonts w:hint="eastAsia"/>
              <w:sz w:val="32"/>
              <w:szCs w:val="32"/>
            </w:rPr>
            <w:instrText xml:space="preserve"> </w:instrText>
          </w:r>
          <w:r>
            <w:rPr>
              <w:rFonts w:hint="eastAsia"/>
              <w:sz w:val="32"/>
              <w:szCs w:val="32"/>
            </w:rPr>
            <w:fldChar w:fldCharType="separate"/>
          </w:r>
          <w:r>
            <w:rPr>
              <w:sz w:val="32"/>
              <w:szCs w:val="32"/>
            </w:rPr>
            <w:t>14</w:t>
          </w:r>
          <w:r>
            <w:rPr>
              <w:rFonts w:hint="eastAsia"/>
              <w:sz w:val="32"/>
              <w:szCs w:val="32"/>
            </w:rPr>
            <w:fldChar w:fldCharType="end"/>
          </w:r>
          <w:r>
            <w:rPr>
              <w:rFonts w:hint="eastAsia"/>
              <w:sz w:val="32"/>
              <w:szCs w:val="32"/>
            </w:rPr>
            <w:fldChar w:fldCharType="end"/>
          </w:r>
        </w:p>
        <w:p>
          <w:pPr>
            <w:keepNext w:val="0"/>
            <w:keepLines w:val="0"/>
            <w:pageBreakBefore w:val="0"/>
            <w:widowControl w:val="0"/>
            <w:wordWrap/>
            <w:overflowPunct/>
            <w:topLinePunct w:val="0"/>
            <w:bidi w:val="0"/>
            <w:rPr>
              <w:szCs w:val="28"/>
            </w:rPr>
          </w:pPr>
          <w:r>
            <w:rPr>
              <w:sz w:val="32"/>
              <w:szCs w:val="32"/>
            </w:rPr>
            <w:fldChar w:fldCharType="end"/>
          </w:r>
        </w:p>
      </w:sdtContent>
    </w:sdt>
    <w:p>
      <w:pPr>
        <w:keepNext w:val="0"/>
        <w:keepLines w:val="0"/>
        <w:pageBreakBefore w:val="0"/>
        <w:widowControl w:val="0"/>
        <w:wordWrap/>
        <w:overflowPunct/>
        <w:topLinePunct w:val="0"/>
        <w:bidi w:val="0"/>
        <w:rPr>
          <w:szCs w:val="28"/>
        </w:rPr>
        <w:sectPr>
          <w:pgSz w:w="11910" w:h="16845"/>
          <w:pgMar w:top="1431" w:right="1591" w:bottom="0" w:left="1478" w:header="0" w:footer="0" w:gutter="0"/>
          <w:cols w:space="720" w:num="1"/>
        </w:sectPr>
      </w:pPr>
    </w:p>
    <w:p>
      <w:pPr>
        <w:keepNext w:val="0"/>
        <w:keepLines w:val="0"/>
        <w:pageBreakBefore w:val="0"/>
        <w:widowControl w:val="0"/>
        <w:wordWrap/>
        <w:overflowPunct/>
        <w:topLinePunct w:val="0"/>
        <w:bidi w:val="0"/>
        <w:adjustRightInd w:val="0"/>
        <w:spacing w:line="600" w:lineRule="exact"/>
        <w:jc w:val="center"/>
        <w:rPr>
          <w:rFonts w:hint="eastAsia" w:ascii="方正小标宋_GBK" w:hAnsi="黑体" w:eastAsia="方正小标宋_GBK" w:cs="黑体"/>
          <w:kern w:val="0"/>
          <w:sz w:val="44"/>
          <w:szCs w:val="44"/>
          <w:lang w:bidi="ar"/>
        </w:rPr>
      </w:pPr>
      <w:r>
        <w:rPr>
          <w:rFonts w:hint="eastAsia" w:ascii="方正小标宋_GBK" w:hAnsi="方正小标宋_GBK" w:eastAsia="方正小标宋_GBK" w:cs="方正小标宋_GBK"/>
          <w:snapToGrid w:val="0"/>
          <w:spacing w:val="3"/>
          <w:kern w:val="0"/>
          <w:position w:val="-2"/>
          <w:sz w:val="44"/>
          <w:szCs w:val="44"/>
        </w:rPr>
        <w:t>深圳市非高危生产经营单位</w:t>
      </w:r>
      <w:r>
        <w:rPr>
          <w:rFonts w:hint="eastAsia" w:ascii="方正小标宋_GBK" w:hAnsi="方正小标宋_GBK" w:eastAsia="方正小标宋_GBK" w:cs="方正小标宋_GBK"/>
          <w:snapToGrid w:val="0"/>
          <w:spacing w:val="3"/>
          <w:kern w:val="0"/>
          <w:position w:val="-2"/>
          <w:sz w:val="44"/>
          <w:szCs w:val="44"/>
          <w:lang w:eastAsia="zh-CN"/>
        </w:rPr>
        <w:t>安全生产管理人员</w:t>
      </w:r>
      <w:r>
        <w:rPr>
          <w:rFonts w:hint="eastAsia" w:ascii="方正小标宋_GBK" w:hAnsi="方正小标宋_GBK" w:eastAsia="方正小标宋_GBK" w:cs="方正小标宋_GBK"/>
          <w:snapToGrid w:val="0"/>
          <w:spacing w:val="3"/>
          <w:kern w:val="0"/>
          <w:position w:val="-2"/>
          <w:sz w:val="44"/>
          <w:szCs w:val="44"/>
        </w:rPr>
        <w:t>安全生产培训和考核大纲</w:t>
      </w:r>
    </w:p>
    <w:p>
      <w:pPr>
        <w:keepNext w:val="0"/>
        <w:keepLines w:val="0"/>
        <w:pageBreakBefore w:val="0"/>
        <w:widowControl w:val="0"/>
        <w:wordWrap/>
        <w:overflowPunct/>
        <w:topLinePunct w:val="0"/>
        <w:bidi w:val="0"/>
        <w:jc w:val="center"/>
        <w:outlineLvl w:val="0"/>
        <w:rPr>
          <w:rFonts w:hint="eastAsia" w:ascii="黑体" w:hAnsi="黑体" w:eastAsia="黑体" w:cs="黑体"/>
          <w:b/>
          <w:bCs/>
          <w:spacing w:val="-8"/>
          <w:sz w:val="32"/>
          <w:szCs w:val="32"/>
        </w:rPr>
      </w:pPr>
    </w:p>
    <w:p>
      <w:pPr>
        <w:keepNext w:val="0"/>
        <w:keepLines w:val="0"/>
        <w:pageBreakBefore w:val="0"/>
        <w:widowControl w:val="0"/>
        <w:kinsoku w:val="0"/>
        <w:wordWrap/>
        <w:overflowPunct/>
        <w:topLinePunct w:val="0"/>
        <w:autoSpaceDE w:val="0"/>
        <w:autoSpaceDN w:val="0"/>
        <w:bidi w:val="0"/>
        <w:adjustRightInd w:val="0"/>
        <w:snapToGrid w:val="0"/>
        <w:spacing w:line="700" w:lineRule="exact"/>
        <w:ind w:firstLine="610" w:firstLineChars="200"/>
        <w:jc w:val="left"/>
        <w:textAlignment w:val="baseline"/>
        <w:outlineLvl w:val="0"/>
        <w:rPr>
          <w:rFonts w:hint="eastAsia" w:ascii="黑体" w:hAnsi="黑体" w:eastAsia="黑体" w:cs="黑体"/>
          <w:b/>
          <w:bCs/>
          <w:snapToGrid w:val="0"/>
          <w:spacing w:val="-8"/>
          <w:kern w:val="0"/>
          <w:sz w:val="32"/>
          <w:szCs w:val="32"/>
        </w:rPr>
      </w:pPr>
      <w:bookmarkStart w:id="0" w:name="_Toc207271446"/>
      <w:r>
        <w:rPr>
          <w:rFonts w:ascii="黑体" w:hAnsi="黑体" w:eastAsia="黑体" w:cs="黑体"/>
          <w:b/>
          <w:bCs/>
          <w:snapToGrid w:val="0"/>
          <w:spacing w:val="-8"/>
          <w:kern w:val="0"/>
          <w:sz w:val="32"/>
          <w:szCs w:val="32"/>
        </w:rPr>
        <w:t>1</w:t>
      </w:r>
      <w:r>
        <w:rPr>
          <w:rFonts w:hint="eastAsia" w:ascii="黑体" w:hAnsi="黑体" w:eastAsia="黑体" w:cs="黑体"/>
          <w:b/>
          <w:bCs/>
          <w:snapToGrid w:val="0"/>
          <w:spacing w:val="-8"/>
          <w:kern w:val="0"/>
          <w:sz w:val="32"/>
          <w:szCs w:val="32"/>
        </w:rPr>
        <w:t xml:space="preserve"> </w:t>
      </w:r>
      <w:r>
        <w:rPr>
          <w:rFonts w:ascii="黑体" w:hAnsi="黑体" w:eastAsia="黑体" w:cs="黑体"/>
          <w:b/>
          <w:bCs/>
          <w:snapToGrid w:val="0"/>
          <w:spacing w:val="-8"/>
          <w:kern w:val="0"/>
          <w:sz w:val="32"/>
          <w:szCs w:val="32"/>
        </w:rPr>
        <w:t>范围</w:t>
      </w:r>
      <w:bookmarkEnd w:id="0"/>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11" w:right="119" w:firstLine="660" w:firstLineChars="200"/>
        <w:textAlignment w:val="baseline"/>
        <w:rPr>
          <w:rFonts w:hint="eastAsia" w:ascii="仿宋_GB2312" w:hAnsi="仿宋_GB2312" w:eastAsia="仿宋_GB2312" w:cs="仿宋_GB2312"/>
          <w:snapToGrid w:val="0"/>
          <w:spacing w:val="5"/>
          <w:kern w:val="0"/>
          <w:sz w:val="32"/>
          <w:szCs w:val="32"/>
        </w:rPr>
      </w:pPr>
      <w:r>
        <w:rPr>
          <w:rFonts w:hint="eastAsia" w:ascii="仿宋_GB2312" w:hAnsi="仿宋_GB2312" w:eastAsia="仿宋_GB2312" w:cs="仿宋_GB2312"/>
          <w:snapToGrid w:val="0"/>
          <w:spacing w:val="5"/>
          <w:kern w:val="0"/>
          <w:sz w:val="32"/>
          <w:szCs w:val="32"/>
        </w:rPr>
        <w:t>本大纲规定了深圳市非高危生产经营单位</w:t>
      </w:r>
      <w:r>
        <w:rPr>
          <w:rFonts w:hint="eastAsia" w:ascii="仿宋_GB2312" w:hAnsi="仿宋_GB2312" w:eastAsia="仿宋_GB2312" w:cs="仿宋_GB2312"/>
          <w:snapToGrid w:val="0"/>
          <w:spacing w:val="5"/>
          <w:kern w:val="0"/>
          <w:sz w:val="32"/>
          <w:szCs w:val="32"/>
          <w:lang w:eastAsia="zh-CN"/>
        </w:rPr>
        <w:t>安全生产管理人员</w:t>
      </w:r>
      <w:r>
        <w:rPr>
          <w:rFonts w:hint="eastAsia" w:ascii="仿宋_GB2312" w:hAnsi="仿宋_GB2312" w:eastAsia="仿宋_GB2312" w:cs="仿宋_GB2312"/>
          <w:snapToGrid w:val="0"/>
          <w:spacing w:val="5"/>
          <w:kern w:val="0"/>
          <w:sz w:val="32"/>
          <w:szCs w:val="32"/>
        </w:rPr>
        <w:t>的安全生产</w:t>
      </w:r>
      <w:r>
        <w:rPr>
          <w:rFonts w:hint="eastAsia" w:ascii="仿宋_GB2312" w:hAnsi="仿宋_GB2312" w:eastAsia="仿宋_GB2312" w:cs="仿宋_GB2312"/>
          <w:snapToGrid w:val="0"/>
          <w:spacing w:val="2"/>
          <w:kern w:val="0"/>
          <w:sz w:val="32"/>
          <w:szCs w:val="32"/>
        </w:rPr>
        <w:t>培训要求、内容</w:t>
      </w:r>
      <w:r>
        <w:rPr>
          <w:rFonts w:hint="eastAsia" w:ascii="仿宋_GB2312" w:hAnsi="仿宋_GB2312" w:eastAsia="仿宋_GB2312" w:cs="仿宋_GB2312"/>
          <w:snapToGrid w:val="0"/>
          <w:spacing w:val="2"/>
          <w:kern w:val="0"/>
          <w:sz w:val="32"/>
          <w:szCs w:val="32"/>
          <w:lang w:eastAsia="zh-CN"/>
        </w:rPr>
        <w:t>及其</w:t>
      </w:r>
      <w:r>
        <w:rPr>
          <w:rFonts w:hint="eastAsia" w:ascii="仿宋_GB2312" w:hAnsi="仿宋_GB2312" w:eastAsia="仿宋_GB2312" w:cs="仿宋_GB2312"/>
          <w:snapToGrid w:val="0"/>
          <w:spacing w:val="2"/>
          <w:kern w:val="0"/>
          <w:sz w:val="32"/>
          <w:szCs w:val="32"/>
        </w:rPr>
        <w:t>考核办法、考核要点</w:t>
      </w:r>
      <w:r>
        <w:rPr>
          <w:rFonts w:hint="eastAsia" w:ascii="仿宋_GB2312" w:hAnsi="仿宋_GB2312" w:eastAsia="仿宋_GB2312" w:cs="仿宋_GB2312"/>
          <w:snapToGrid w:val="0"/>
          <w:spacing w:val="5"/>
          <w:kern w:val="0"/>
          <w:sz w:val="32"/>
          <w:szCs w:val="32"/>
        </w:rPr>
        <w:t>。</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11" w:right="119" w:firstLine="660" w:firstLineChars="200"/>
        <w:textAlignment w:val="baseline"/>
        <w:rPr>
          <w:rFonts w:hint="eastAsia" w:ascii="仿宋_GB2312" w:hAnsi="仿宋_GB2312" w:eastAsia="仿宋_GB2312" w:cs="仿宋_GB2312"/>
          <w:snapToGrid w:val="0"/>
          <w:spacing w:val="5"/>
          <w:kern w:val="0"/>
          <w:sz w:val="32"/>
          <w:szCs w:val="32"/>
        </w:rPr>
      </w:pPr>
      <w:r>
        <w:rPr>
          <w:rFonts w:hint="eastAsia" w:ascii="仿宋_GB2312" w:hAnsi="仿宋_GB2312" w:eastAsia="仿宋_GB2312" w:cs="仿宋_GB2312"/>
          <w:snapToGrid w:val="0"/>
          <w:spacing w:val="5"/>
          <w:kern w:val="0"/>
          <w:sz w:val="32"/>
          <w:szCs w:val="32"/>
        </w:rPr>
        <w:t>本大纲适用于深圳市（含深汕特别合作区）非高危生产经营单位</w:t>
      </w:r>
      <w:r>
        <w:rPr>
          <w:rFonts w:hint="eastAsia" w:ascii="仿宋_GB2312" w:hAnsi="仿宋_GB2312" w:eastAsia="仿宋_GB2312" w:cs="仿宋_GB2312"/>
          <w:snapToGrid w:val="0"/>
          <w:spacing w:val="5"/>
          <w:kern w:val="0"/>
          <w:sz w:val="32"/>
          <w:szCs w:val="32"/>
          <w:lang w:eastAsia="zh-CN"/>
        </w:rPr>
        <w:t>安全生产管理人员</w:t>
      </w:r>
      <w:r>
        <w:rPr>
          <w:rFonts w:hint="eastAsia" w:ascii="仿宋_GB2312" w:hAnsi="仿宋_GB2312" w:eastAsia="仿宋_GB2312" w:cs="仿宋_GB2312"/>
          <w:snapToGrid w:val="0"/>
          <w:spacing w:val="5"/>
          <w:kern w:val="0"/>
          <w:sz w:val="32"/>
          <w:szCs w:val="32"/>
        </w:rPr>
        <w:t>的安全生产</w:t>
      </w:r>
      <w:r>
        <w:rPr>
          <w:rFonts w:hint="eastAsia" w:ascii="仿宋_GB2312" w:hAnsi="仿宋_GB2312" w:eastAsia="仿宋_GB2312" w:cs="仿宋_GB2312"/>
          <w:sz w:val="32"/>
          <w:szCs w:val="32"/>
        </w:rPr>
        <w:t>培训与考核</w:t>
      </w:r>
      <w:r>
        <w:rPr>
          <w:rFonts w:hint="eastAsia" w:ascii="仿宋_GB2312" w:hAnsi="仿宋_GB2312" w:eastAsia="仿宋_GB2312" w:cs="仿宋_GB2312"/>
          <w:snapToGrid w:val="0"/>
          <w:spacing w:val="5"/>
          <w:kern w:val="0"/>
          <w:sz w:val="32"/>
          <w:szCs w:val="32"/>
        </w:rPr>
        <w:t>。</w:t>
      </w:r>
    </w:p>
    <w:p>
      <w:pPr>
        <w:keepNext w:val="0"/>
        <w:keepLines w:val="0"/>
        <w:pageBreakBefore w:val="0"/>
        <w:widowControl w:val="0"/>
        <w:kinsoku w:val="0"/>
        <w:wordWrap/>
        <w:overflowPunct/>
        <w:topLinePunct w:val="0"/>
        <w:autoSpaceDE w:val="0"/>
        <w:autoSpaceDN w:val="0"/>
        <w:bidi w:val="0"/>
        <w:adjustRightInd w:val="0"/>
        <w:snapToGrid w:val="0"/>
        <w:spacing w:line="700" w:lineRule="exact"/>
        <w:ind w:firstLine="610" w:firstLineChars="200"/>
        <w:jc w:val="left"/>
        <w:textAlignment w:val="baseline"/>
        <w:outlineLvl w:val="0"/>
        <w:rPr>
          <w:rFonts w:hint="eastAsia" w:ascii="黑体" w:hAnsi="黑体" w:eastAsia="黑体" w:cs="黑体"/>
          <w:b/>
          <w:bCs/>
          <w:snapToGrid w:val="0"/>
          <w:spacing w:val="-8"/>
          <w:kern w:val="0"/>
          <w:sz w:val="32"/>
          <w:szCs w:val="32"/>
        </w:rPr>
      </w:pPr>
      <w:bookmarkStart w:id="1" w:name="_Toc207271447"/>
      <w:r>
        <w:rPr>
          <w:rFonts w:ascii="黑体" w:hAnsi="黑体" w:eastAsia="黑体" w:cs="黑体"/>
          <w:b/>
          <w:bCs/>
          <w:snapToGrid w:val="0"/>
          <w:spacing w:val="-8"/>
          <w:kern w:val="0"/>
          <w:sz w:val="32"/>
          <w:szCs w:val="32"/>
        </w:rPr>
        <w:t>2</w:t>
      </w:r>
      <w:r>
        <w:rPr>
          <w:rFonts w:hint="eastAsia" w:ascii="黑体" w:hAnsi="黑体" w:eastAsia="黑体" w:cs="黑体"/>
          <w:b/>
          <w:bCs/>
          <w:snapToGrid w:val="0"/>
          <w:spacing w:val="-8"/>
          <w:kern w:val="0"/>
          <w:sz w:val="32"/>
          <w:szCs w:val="32"/>
        </w:rPr>
        <w:t xml:space="preserve"> </w:t>
      </w:r>
      <w:r>
        <w:rPr>
          <w:rFonts w:ascii="黑体" w:hAnsi="黑体" w:eastAsia="黑体" w:cs="黑体"/>
          <w:b/>
          <w:bCs/>
          <w:snapToGrid w:val="0"/>
          <w:spacing w:val="-8"/>
          <w:kern w:val="0"/>
          <w:sz w:val="32"/>
          <w:szCs w:val="32"/>
        </w:rPr>
        <w:t>编制依据</w:t>
      </w:r>
      <w:bookmarkEnd w:id="1"/>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11" w:right="119" w:firstLine="660" w:firstLineChars="200"/>
        <w:jc w:val="left"/>
        <w:textAlignment w:val="baseline"/>
        <w:rPr>
          <w:rFonts w:hint="eastAsia" w:ascii="仿宋_GB2312" w:hAnsi="仿宋_GB2312" w:eastAsia="仿宋_GB2312" w:cs="仿宋_GB2312"/>
          <w:snapToGrid w:val="0"/>
          <w:spacing w:val="5"/>
          <w:kern w:val="0"/>
          <w:sz w:val="32"/>
          <w:szCs w:val="32"/>
        </w:rPr>
      </w:pPr>
      <w:r>
        <w:rPr>
          <w:rFonts w:hint="eastAsia" w:ascii="仿宋_GB2312" w:hAnsi="仿宋_GB2312" w:eastAsia="仿宋_GB2312" w:cs="仿宋_GB2312"/>
          <w:spacing w:val="5"/>
          <w:sz w:val="32"/>
          <w:szCs w:val="32"/>
        </w:rPr>
        <w:t>本大纲根据下列法律法规规章要求制定，</w:t>
      </w:r>
      <w:r>
        <w:rPr>
          <w:rFonts w:hint="eastAsia" w:ascii="仿宋_GB2312" w:hAnsi="仿宋_GB2312" w:eastAsia="仿宋_GB2312" w:cs="仿宋_GB2312"/>
          <w:sz w:val="32"/>
          <w:szCs w:val="32"/>
        </w:rPr>
        <w:t>不注日期的引用文件，其最新版本适用于本大纲</w:t>
      </w:r>
      <w:r>
        <w:rPr>
          <w:rFonts w:hint="eastAsia" w:ascii="仿宋_GB2312" w:hAnsi="仿宋_GB2312" w:eastAsia="仿宋_GB2312" w:cs="仿宋_GB2312"/>
          <w:snapToGrid w:val="0"/>
          <w:spacing w:val="5"/>
          <w:kern w:val="0"/>
          <w:sz w:val="32"/>
          <w:szCs w:val="32"/>
        </w:rPr>
        <w:t>：</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11" w:right="119" w:firstLine="660" w:firstLineChars="200"/>
        <w:jc w:val="left"/>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《中华人民共和国安全生产法》</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11" w:right="119" w:firstLine="660" w:firstLineChars="200"/>
        <w:jc w:val="left"/>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《生产经营单位安全培训规定》</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11" w:right="119" w:firstLine="660" w:firstLineChars="200"/>
        <w:jc w:val="left"/>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《安全生产培训管理办法》</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11" w:right="119" w:firstLine="660" w:firstLineChars="200"/>
        <w:jc w:val="left"/>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《广东省安全生产条例》</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11" w:right="119" w:firstLine="660" w:firstLineChars="200"/>
        <w:jc w:val="left"/>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《深圳经济特区安全生产监督管理条例》</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11" w:right="119" w:firstLine="660" w:firstLineChars="200"/>
        <w:jc w:val="left"/>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《深圳经济特区灾害事故应急处置条例》</w:t>
      </w:r>
    </w:p>
    <w:p>
      <w:pPr>
        <w:keepNext w:val="0"/>
        <w:keepLines w:val="0"/>
        <w:pageBreakBefore w:val="0"/>
        <w:widowControl w:val="0"/>
        <w:kinsoku w:val="0"/>
        <w:wordWrap/>
        <w:overflowPunct/>
        <w:topLinePunct w:val="0"/>
        <w:autoSpaceDE w:val="0"/>
        <w:autoSpaceDN w:val="0"/>
        <w:bidi w:val="0"/>
        <w:adjustRightInd w:val="0"/>
        <w:snapToGrid w:val="0"/>
        <w:spacing w:line="700" w:lineRule="exact"/>
        <w:ind w:firstLine="610" w:firstLineChars="200"/>
        <w:jc w:val="left"/>
        <w:textAlignment w:val="baseline"/>
        <w:outlineLvl w:val="0"/>
        <w:rPr>
          <w:rFonts w:hint="eastAsia" w:ascii="黑体" w:hAnsi="黑体" w:eastAsia="黑体" w:cs="黑体"/>
          <w:b/>
          <w:bCs/>
          <w:snapToGrid w:val="0"/>
          <w:spacing w:val="-8"/>
          <w:kern w:val="0"/>
          <w:sz w:val="32"/>
          <w:szCs w:val="32"/>
        </w:rPr>
      </w:pPr>
      <w:bookmarkStart w:id="2" w:name="_Toc207271448"/>
      <w:r>
        <w:rPr>
          <w:rFonts w:ascii="黑体" w:hAnsi="黑体" w:eastAsia="黑体" w:cs="黑体"/>
          <w:b/>
          <w:bCs/>
          <w:snapToGrid w:val="0"/>
          <w:spacing w:val="-8"/>
          <w:kern w:val="0"/>
          <w:sz w:val="32"/>
          <w:szCs w:val="32"/>
        </w:rPr>
        <w:t>3</w:t>
      </w:r>
      <w:r>
        <w:rPr>
          <w:rFonts w:hint="eastAsia" w:ascii="黑体" w:hAnsi="黑体" w:eastAsia="黑体" w:cs="黑体"/>
          <w:b/>
          <w:bCs/>
          <w:snapToGrid w:val="0"/>
          <w:spacing w:val="-8"/>
          <w:kern w:val="0"/>
          <w:sz w:val="32"/>
          <w:szCs w:val="32"/>
        </w:rPr>
        <w:t xml:space="preserve"> </w:t>
      </w:r>
      <w:r>
        <w:rPr>
          <w:rFonts w:ascii="黑体" w:hAnsi="黑体" w:eastAsia="黑体" w:cs="黑体"/>
          <w:b/>
          <w:bCs/>
          <w:snapToGrid w:val="0"/>
          <w:spacing w:val="-8"/>
          <w:kern w:val="0"/>
          <w:sz w:val="32"/>
          <w:szCs w:val="32"/>
        </w:rPr>
        <w:t>术语和定义</w:t>
      </w:r>
      <w:bookmarkEnd w:id="2"/>
    </w:p>
    <w:p>
      <w:pPr>
        <w:keepNext w:val="0"/>
        <w:keepLines w:val="0"/>
        <w:pageBreakBefore w:val="0"/>
        <w:widowControl w:val="0"/>
        <w:kinsoku w:val="0"/>
        <w:wordWrap/>
        <w:overflowPunct/>
        <w:topLinePunct w:val="0"/>
        <w:autoSpaceDE w:val="0"/>
        <w:autoSpaceDN w:val="0"/>
        <w:bidi w:val="0"/>
        <w:adjustRightInd w:val="0"/>
        <w:snapToGrid w:val="0"/>
        <w:spacing w:line="560" w:lineRule="exact"/>
        <w:ind w:right="119" w:firstLine="660" w:firstLineChars="200"/>
        <w:jc w:val="left"/>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下列术语和定义适用于本大纲。</w:t>
      </w:r>
    </w:p>
    <w:p>
      <w:pPr>
        <w:keepNext w:val="0"/>
        <w:keepLines w:val="0"/>
        <w:pageBreakBefore w:val="0"/>
        <w:widowControl w:val="0"/>
        <w:kinsoku w:val="0"/>
        <w:wordWrap/>
        <w:overflowPunct/>
        <w:topLinePunct w:val="0"/>
        <w:autoSpaceDE w:val="0"/>
        <w:autoSpaceDN w:val="0"/>
        <w:bidi w:val="0"/>
        <w:adjustRightInd w:val="0"/>
        <w:snapToGrid w:val="0"/>
        <w:spacing w:line="700" w:lineRule="exact"/>
        <w:ind w:firstLine="650" w:firstLineChars="200"/>
        <w:jc w:val="left"/>
        <w:textAlignment w:val="baseline"/>
        <w:rPr>
          <w:rFonts w:hint="eastAsia" w:ascii="楷体_GB2312" w:hAnsi="楷体" w:eastAsia="楷体_GB2312" w:cs="楷体"/>
          <w:b/>
          <w:bCs/>
          <w:snapToGrid w:val="0"/>
          <w:spacing w:val="2"/>
          <w:kern w:val="0"/>
          <w:sz w:val="32"/>
          <w:szCs w:val="32"/>
        </w:rPr>
      </w:pPr>
      <w:r>
        <w:rPr>
          <w:rFonts w:hint="eastAsia" w:ascii="楷体_GB2312" w:hAnsi="楷体" w:eastAsia="楷体_GB2312" w:cs="楷体"/>
          <w:b/>
          <w:bCs/>
          <w:snapToGrid w:val="0"/>
          <w:spacing w:val="2"/>
          <w:kern w:val="0"/>
          <w:sz w:val="32"/>
          <w:szCs w:val="32"/>
        </w:rPr>
        <w:t>3.1 高危生产经营单位</w:t>
      </w:r>
    </w:p>
    <w:p>
      <w:pPr>
        <w:keepNext w:val="0"/>
        <w:keepLines w:val="0"/>
        <w:pageBreakBefore w:val="0"/>
        <w:widowControl w:val="0"/>
        <w:wordWrap/>
        <w:overflowPunct/>
        <w:topLinePunct w:val="0"/>
        <w:bidi w:val="0"/>
        <w:spacing w:line="560" w:lineRule="exact"/>
        <w:ind w:firstLine="660" w:firstLineChars="200"/>
        <w:jc w:val="left"/>
        <w:rPr>
          <w:rFonts w:hint="eastAsia" w:ascii="仿宋_GB2312" w:hAnsi="仿宋_GB2312" w:eastAsia="仿宋_GB2312" w:cs="仿宋_GB2312"/>
          <w:snapToGrid w:val="0"/>
          <w:spacing w:val="5"/>
          <w:kern w:val="0"/>
          <w:sz w:val="32"/>
          <w:szCs w:val="32"/>
        </w:rPr>
      </w:pPr>
      <w:r>
        <w:rPr>
          <w:rFonts w:hint="eastAsia" w:ascii="仿宋_GB2312" w:hAnsi="仿宋_GB2312" w:eastAsia="仿宋_GB2312" w:cs="仿宋_GB2312"/>
          <w:snapToGrid w:val="0"/>
          <w:spacing w:val="5"/>
          <w:kern w:val="0"/>
          <w:sz w:val="32"/>
          <w:szCs w:val="32"/>
        </w:rPr>
        <w:t>矿山、金属冶炼、建筑施工、运输单位；危险物品的生产、经营、储存、装卸单位；锂电池的生产、加工、储存单位；粉尘涉爆、涉氨制冷单位；法律、法规、规章和国务院文件规定的其他高危生产经营单位。</w:t>
      </w:r>
    </w:p>
    <w:p>
      <w:pPr>
        <w:keepNext w:val="0"/>
        <w:keepLines w:val="0"/>
        <w:pageBreakBefore w:val="0"/>
        <w:widowControl w:val="0"/>
        <w:kinsoku w:val="0"/>
        <w:wordWrap/>
        <w:overflowPunct/>
        <w:topLinePunct w:val="0"/>
        <w:autoSpaceDE w:val="0"/>
        <w:autoSpaceDN w:val="0"/>
        <w:bidi w:val="0"/>
        <w:adjustRightInd w:val="0"/>
        <w:snapToGrid w:val="0"/>
        <w:spacing w:line="700" w:lineRule="exact"/>
        <w:ind w:firstLine="650" w:firstLineChars="200"/>
        <w:jc w:val="left"/>
        <w:textAlignment w:val="baseline"/>
        <w:rPr>
          <w:rFonts w:hint="eastAsia" w:ascii="楷体_GB2312" w:hAnsi="楷体" w:eastAsia="楷体_GB2312" w:cs="楷体"/>
          <w:b/>
          <w:bCs/>
          <w:snapToGrid w:val="0"/>
          <w:spacing w:val="2"/>
          <w:kern w:val="0"/>
          <w:sz w:val="32"/>
          <w:szCs w:val="32"/>
        </w:rPr>
      </w:pPr>
      <w:r>
        <w:rPr>
          <w:rFonts w:hint="eastAsia" w:ascii="楷体_GB2312" w:hAnsi="楷体" w:eastAsia="楷体_GB2312" w:cs="楷体"/>
          <w:b/>
          <w:bCs/>
          <w:snapToGrid w:val="0"/>
          <w:spacing w:val="2"/>
          <w:kern w:val="0"/>
          <w:sz w:val="32"/>
          <w:szCs w:val="32"/>
        </w:rPr>
        <w:t>3.2 非高危生产经营单位</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napToGrid w:val="0"/>
          <w:spacing w:val="5"/>
          <w:kern w:val="0"/>
          <w:sz w:val="32"/>
          <w:szCs w:val="32"/>
        </w:rPr>
      </w:pPr>
      <w:r>
        <w:rPr>
          <w:rFonts w:hint="eastAsia" w:ascii="仿宋_GB2312" w:hAnsi="仿宋_GB2312" w:eastAsia="仿宋_GB2312" w:cs="仿宋_GB2312"/>
          <w:snapToGrid w:val="0"/>
          <w:spacing w:val="5"/>
          <w:kern w:val="0"/>
          <w:sz w:val="32"/>
          <w:szCs w:val="32"/>
        </w:rPr>
        <w:t>除上述高危生产经营单位以外的</w:t>
      </w:r>
      <w:r>
        <w:rPr>
          <w:rFonts w:hint="eastAsia" w:ascii="仿宋_GB2312" w:hAnsi="仿宋_GB2312" w:eastAsia="仿宋_GB2312" w:cs="仿宋_GB2312"/>
          <w:snapToGrid w:val="0"/>
          <w:spacing w:val="5"/>
          <w:kern w:val="0"/>
          <w:sz w:val="32"/>
          <w:szCs w:val="32"/>
          <w:lang w:eastAsia="zh-CN"/>
        </w:rPr>
        <w:t>，</w:t>
      </w:r>
      <w:r>
        <w:rPr>
          <w:rFonts w:hint="eastAsia" w:ascii="仿宋_GB2312" w:hAnsi="仿宋_GB2312" w:eastAsia="仿宋_GB2312" w:cs="仿宋_GB2312"/>
          <w:snapToGrid w:val="0"/>
          <w:spacing w:val="5"/>
          <w:kern w:val="0"/>
          <w:sz w:val="32"/>
          <w:szCs w:val="32"/>
        </w:rPr>
        <w:t>从业人员在50人以上的工业企业</w:t>
      </w:r>
      <w:r>
        <w:rPr>
          <w:rFonts w:hint="eastAsia" w:ascii="仿宋_GB2312" w:hAnsi="仿宋_GB2312" w:eastAsia="仿宋_GB2312" w:cs="仿宋_GB2312"/>
          <w:snapToGrid w:val="0"/>
          <w:spacing w:val="5"/>
          <w:kern w:val="0"/>
          <w:sz w:val="32"/>
          <w:szCs w:val="32"/>
          <w:lang w:val="en-US" w:eastAsia="zh-CN"/>
        </w:rPr>
        <w:t>以及</w:t>
      </w:r>
      <w:r>
        <w:rPr>
          <w:rFonts w:hint="eastAsia" w:ascii="仿宋_GB2312" w:hAnsi="仿宋_GB2312" w:eastAsia="仿宋_GB2312" w:cs="仿宋_GB2312"/>
          <w:snapToGrid w:val="0"/>
          <w:spacing w:val="5"/>
          <w:kern w:val="0"/>
          <w:sz w:val="32"/>
          <w:szCs w:val="32"/>
        </w:rPr>
        <w:t>从业人员在100人以上的</w:t>
      </w:r>
      <w:r>
        <w:rPr>
          <w:rFonts w:hint="eastAsia" w:ascii="仿宋_GB2312" w:hAnsi="仿宋_GB2312" w:eastAsia="仿宋_GB2312" w:cs="仿宋_GB2312"/>
          <w:snapToGrid w:val="0"/>
          <w:spacing w:val="5"/>
          <w:kern w:val="0"/>
          <w:sz w:val="32"/>
          <w:szCs w:val="32"/>
          <w:lang w:eastAsia="zh-CN"/>
        </w:rPr>
        <w:t>其他</w:t>
      </w:r>
      <w:r>
        <w:rPr>
          <w:rFonts w:hint="eastAsia" w:ascii="仿宋_GB2312" w:hAnsi="仿宋_GB2312" w:eastAsia="仿宋_GB2312" w:cs="仿宋_GB2312"/>
          <w:snapToGrid w:val="0"/>
          <w:spacing w:val="5"/>
          <w:kern w:val="0"/>
          <w:sz w:val="32"/>
          <w:szCs w:val="32"/>
        </w:rPr>
        <w:t>生产经营单位。</w:t>
      </w:r>
    </w:p>
    <w:p>
      <w:pPr>
        <w:keepNext w:val="0"/>
        <w:keepLines w:val="0"/>
        <w:pageBreakBefore w:val="0"/>
        <w:widowControl w:val="0"/>
        <w:wordWrap/>
        <w:overflowPunct/>
        <w:topLinePunct w:val="0"/>
        <w:bidi w:val="0"/>
        <w:spacing w:line="700" w:lineRule="exact"/>
        <w:ind w:firstLine="650" w:firstLineChars="200"/>
        <w:rPr>
          <w:rFonts w:hint="eastAsia" w:ascii="楷体_GB2312" w:hAnsi="楷体" w:eastAsia="楷体_GB2312" w:cs="楷体"/>
          <w:b/>
          <w:bCs/>
          <w:snapToGrid/>
          <w:spacing w:val="2"/>
          <w:kern w:val="2"/>
          <w:sz w:val="32"/>
          <w:szCs w:val="32"/>
          <w:lang w:eastAsia="zh-CN"/>
        </w:rPr>
      </w:pPr>
      <w:bookmarkStart w:id="3" w:name="_Toc207271449"/>
      <w:r>
        <w:rPr>
          <w:rFonts w:hint="eastAsia" w:ascii="楷体_GB2312" w:hAnsi="楷体" w:eastAsia="楷体_GB2312" w:cs="楷体"/>
          <w:b/>
          <w:bCs/>
          <w:snapToGrid/>
          <w:spacing w:val="2"/>
          <w:kern w:val="2"/>
          <w:sz w:val="32"/>
          <w:szCs w:val="32"/>
          <w:lang w:eastAsia="zh-CN"/>
        </w:rPr>
        <w:t>3.</w:t>
      </w:r>
      <w:r>
        <w:rPr>
          <w:rFonts w:hint="eastAsia" w:ascii="楷体_GB2312" w:hAnsi="楷体" w:eastAsia="楷体_GB2312" w:cs="楷体"/>
          <w:b/>
          <w:bCs/>
          <w:snapToGrid/>
          <w:spacing w:val="2"/>
          <w:kern w:val="2"/>
          <w:sz w:val="32"/>
          <w:szCs w:val="32"/>
          <w:lang w:val="en-US" w:eastAsia="zh-CN"/>
        </w:rPr>
        <w:t>3</w:t>
      </w:r>
      <w:r>
        <w:rPr>
          <w:rFonts w:hint="eastAsia" w:ascii="楷体_GB2312" w:hAnsi="楷体" w:eastAsia="楷体_GB2312" w:cs="楷体"/>
          <w:b/>
          <w:bCs/>
          <w:snapToGrid/>
          <w:spacing w:val="2"/>
          <w:kern w:val="2"/>
          <w:sz w:val="32"/>
          <w:szCs w:val="32"/>
          <w:lang w:eastAsia="zh-CN"/>
        </w:rPr>
        <w:t xml:space="preserve"> 非高危生产经营单位安全生产管理人员</w:t>
      </w:r>
    </w:p>
    <w:p>
      <w:pPr>
        <w:keepNext w:val="0"/>
        <w:keepLines w:val="0"/>
        <w:pageBreakBefore w:val="0"/>
        <w:widowControl w:val="0"/>
        <w:wordWrap/>
        <w:overflowPunct/>
        <w:topLinePunct w:val="0"/>
        <w:bidi w:val="0"/>
        <w:spacing w:line="560" w:lineRule="exact"/>
        <w:ind w:firstLine="660" w:firstLineChars="200"/>
        <w:rPr>
          <w:color w:val="auto"/>
          <w:lang w:eastAsia="zh-CN"/>
        </w:rPr>
      </w:pPr>
      <w:r>
        <w:rPr>
          <w:rFonts w:hint="eastAsia" w:ascii="仿宋_GB2312" w:hAnsi="仿宋_GB2312" w:eastAsia="仿宋_GB2312" w:cs="仿宋_GB2312"/>
          <w:color w:val="auto"/>
          <w:spacing w:val="5"/>
          <w:sz w:val="32"/>
          <w:szCs w:val="32"/>
          <w:lang w:eastAsia="zh-CN"/>
        </w:rPr>
        <w:t>非高危生产经营单位协助本单位主要负责人履行安全生产管理职责</w:t>
      </w:r>
      <w:r>
        <w:rPr>
          <w:rFonts w:hint="eastAsia" w:ascii="仿宋_GB2312" w:hAnsi="仿宋_GB2312" w:eastAsia="仿宋_GB2312" w:cs="仿宋_GB2312"/>
          <w:color w:val="auto"/>
          <w:spacing w:val="5"/>
          <w:sz w:val="32"/>
          <w:szCs w:val="32"/>
          <w:lang w:val="en-US" w:eastAsia="zh-CN"/>
        </w:rPr>
        <w:t>的</w:t>
      </w:r>
      <w:r>
        <w:rPr>
          <w:rFonts w:hint="eastAsia" w:ascii="仿宋_GB2312" w:hAnsi="仿宋_GB2312" w:eastAsia="仿宋_GB2312" w:cs="仿宋_GB2312"/>
          <w:color w:val="auto"/>
          <w:spacing w:val="5"/>
          <w:sz w:val="32"/>
          <w:szCs w:val="32"/>
          <w:lang w:eastAsia="zh-CN"/>
        </w:rPr>
        <w:t>专职安全生产分管负责人（从业人员在三百人以上的，应当设置安全总监，作为本单位专职安全生产分管负责人），安全生产管理机构负责人、管理人员，以及未设安全生产管理机构的生产经营单位专（兼）职安全生产管理人员等。</w:t>
      </w:r>
    </w:p>
    <w:p>
      <w:pPr>
        <w:keepNext w:val="0"/>
        <w:keepLines w:val="0"/>
        <w:pageBreakBefore w:val="0"/>
        <w:widowControl w:val="0"/>
        <w:kinsoku w:val="0"/>
        <w:wordWrap/>
        <w:overflowPunct/>
        <w:topLinePunct w:val="0"/>
        <w:autoSpaceDE w:val="0"/>
        <w:autoSpaceDN w:val="0"/>
        <w:bidi w:val="0"/>
        <w:adjustRightInd w:val="0"/>
        <w:snapToGrid w:val="0"/>
        <w:spacing w:line="700" w:lineRule="exact"/>
        <w:ind w:firstLine="610" w:firstLineChars="200"/>
        <w:jc w:val="left"/>
        <w:textAlignment w:val="baseline"/>
        <w:outlineLvl w:val="0"/>
        <w:rPr>
          <w:rFonts w:hint="eastAsia" w:ascii="黑体" w:hAnsi="黑体" w:eastAsia="黑体" w:cs="黑体"/>
          <w:b/>
          <w:bCs/>
          <w:snapToGrid w:val="0"/>
          <w:spacing w:val="-8"/>
          <w:kern w:val="0"/>
          <w:sz w:val="32"/>
          <w:szCs w:val="32"/>
        </w:rPr>
      </w:pPr>
      <w:r>
        <w:rPr>
          <w:rFonts w:ascii="黑体" w:hAnsi="黑体" w:eastAsia="黑体" w:cs="黑体"/>
          <w:b/>
          <w:bCs/>
          <w:snapToGrid w:val="0"/>
          <w:spacing w:val="-8"/>
          <w:kern w:val="0"/>
          <w:sz w:val="32"/>
          <w:szCs w:val="32"/>
        </w:rPr>
        <w:t>4</w:t>
      </w:r>
      <w:r>
        <w:rPr>
          <w:rFonts w:hint="eastAsia" w:ascii="黑体" w:hAnsi="黑体" w:eastAsia="黑体" w:cs="黑体"/>
          <w:b/>
          <w:bCs/>
          <w:snapToGrid w:val="0"/>
          <w:spacing w:val="-8"/>
          <w:kern w:val="0"/>
          <w:sz w:val="32"/>
          <w:szCs w:val="32"/>
        </w:rPr>
        <w:t xml:space="preserve"> </w:t>
      </w:r>
      <w:r>
        <w:rPr>
          <w:rFonts w:ascii="黑体" w:hAnsi="黑体" w:eastAsia="黑体" w:cs="黑体"/>
          <w:b/>
          <w:bCs/>
          <w:snapToGrid w:val="0"/>
          <w:spacing w:val="-8"/>
          <w:kern w:val="0"/>
          <w:sz w:val="32"/>
          <w:szCs w:val="32"/>
        </w:rPr>
        <w:t>培训大纲</w:t>
      </w:r>
      <w:bookmarkEnd w:id="3"/>
    </w:p>
    <w:p>
      <w:pPr>
        <w:keepNext w:val="0"/>
        <w:keepLines w:val="0"/>
        <w:pageBreakBefore w:val="0"/>
        <w:widowControl w:val="0"/>
        <w:kinsoku w:val="0"/>
        <w:wordWrap/>
        <w:overflowPunct/>
        <w:topLinePunct w:val="0"/>
        <w:autoSpaceDE w:val="0"/>
        <w:autoSpaceDN w:val="0"/>
        <w:bidi w:val="0"/>
        <w:adjustRightInd w:val="0"/>
        <w:snapToGrid w:val="0"/>
        <w:spacing w:line="700" w:lineRule="exact"/>
        <w:ind w:firstLine="650" w:firstLineChars="200"/>
        <w:jc w:val="left"/>
        <w:textAlignment w:val="baseline"/>
        <w:rPr>
          <w:rFonts w:hint="eastAsia" w:ascii="楷体_GB2312" w:hAnsi="楷体" w:eastAsia="楷体_GB2312" w:cs="楷体"/>
          <w:b/>
          <w:bCs/>
          <w:snapToGrid w:val="0"/>
          <w:spacing w:val="2"/>
          <w:kern w:val="0"/>
          <w:sz w:val="32"/>
          <w:szCs w:val="32"/>
        </w:rPr>
      </w:pPr>
      <w:r>
        <w:rPr>
          <w:rFonts w:hint="eastAsia" w:ascii="楷体_GB2312" w:hAnsi="楷体" w:eastAsia="楷体_GB2312" w:cs="楷体"/>
          <w:b/>
          <w:bCs/>
          <w:snapToGrid w:val="0"/>
          <w:spacing w:val="2"/>
          <w:kern w:val="0"/>
          <w:sz w:val="32"/>
          <w:szCs w:val="32"/>
        </w:rPr>
        <w:t>4.1 培训要求</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napToGrid w:val="0"/>
          <w:spacing w:val="5"/>
          <w:kern w:val="0"/>
          <w:sz w:val="32"/>
          <w:szCs w:val="32"/>
          <w:lang w:eastAsia="zh-CN"/>
        </w:rPr>
      </w:pPr>
      <w:r>
        <w:rPr>
          <w:rFonts w:hint="eastAsia" w:ascii="仿宋_GB2312" w:hAnsi="仿宋_GB2312" w:eastAsia="仿宋_GB2312" w:cs="仿宋_GB2312"/>
          <w:snapToGrid w:val="0"/>
          <w:spacing w:val="5"/>
          <w:kern w:val="0"/>
          <w:sz w:val="32"/>
          <w:szCs w:val="32"/>
        </w:rPr>
        <w:t>4.1.1非高危生产经营单位</w:t>
      </w:r>
      <w:r>
        <w:rPr>
          <w:rFonts w:hint="eastAsia" w:ascii="仿宋_GB2312" w:hAnsi="仿宋_GB2312" w:eastAsia="仿宋_GB2312" w:cs="仿宋_GB2312"/>
          <w:snapToGrid w:val="0"/>
          <w:spacing w:val="5"/>
          <w:kern w:val="0"/>
          <w:sz w:val="32"/>
          <w:szCs w:val="32"/>
          <w:lang w:eastAsia="zh-CN"/>
        </w:rPr>
        <w:t>安全生产管理人员</w:t>
      </w:r>
      <w:r>
        <w:rPr>
          <w:rFonts w:hint="eastAsia" w:ascii="仿宋_GB2312" w:hAnsi="仿宋_GB2312" w:eastAsia="仿宋_GB2312" w:cs="仿宋_GB2312"/>
          <w:snapToGrid w:val="0"/>
          <w:spacing w:val="5"/>
          <w:kern w:val="0"/>
          <w:sz w:val="32"/>
          <w:szCs w:val="32"/>
        </w:rPr>
        <w:t>应当接受安全生产培训，具备与本单位所从事的生产经营活动相适应的安全生产知识和安全生产管理能力。</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napToGrid w:val="0"/>
          <w:spacing w:val="5"/>
          <w:kern w:val="0"/>
          <w:sz w:val="32"/>
          <w:szCs w:val="32"/>
        </w:rPr>
      </w:pPr>
      <w:r>
        <w:rPr>
          <w:rFonts w:hint="eastAsia" w:ascii="仿宋_GB2312" w:hAnsi="仿宋_GB2312" w:eastAsia="仿宋_GB2312" w:cs="仿宋_GB2312"/>
          <w:snapToGrid w:val="0"/>
          <w:spacing w:val="5"/>
          <w:kern w:val="0"/>
          <w:sz w:val="32"/>
          <w:szCs w:val="32"/>
        </w:rPr>
        <w:t>4.1.2 培训应按照国家、广东省和深圳市有关安全生产培训的规定组织进行。具备安全培训条件的非高危生产经营单位，应当以自主培训为主</w:t>
      </w:r>
      <w:r>
        <w:rPr>
          <w:rFonts w:hint="eastAsia" w:ascii="仿宋_GB2312" w:hAnsi="仿宋_GB2312" w:eastAsia="仿宋_GB2312" w:cs="仿宋_GB2312"/>
          <w:snapToGrid w:val="0"/>
          <w:spacing w:val="5"/>
          <w:kern w:val="0"/>
          <w:sz w:val="32"/>
          <w:szCs w:val="32"/>
          <w:lang w:eastAsia="zh-CN"/>
        </w:rPr>
        <w:t>，</w:t>
      </w:r>
      <w:r>
        <w:rPr>
          <w:rFonts w:hint="eastAsia" w:ascii="仿宋_GB2312" w:hAnsi="仿宋_GB2312" w:eastAsia="仿宋_GB2312" w:cs="仿宋_GB2312"/>
          <w:snapToGrid w:val="0"/>
          <w:spacing w:val="5"/>
          <w:kern w:val="0"/>
          <w:sz w:val="32"/>
          <w:szCs w:val="32"/>
        </w:rPr>
        <w:t>不具备安全培训条件的非高危行业生产经营单位，可以委托具备安全培训条件的机构进行安全培训，保证安全培训的责任仍由本单位负责。</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napToGrid w:val="0"/>
          <w:spacing w:val="5"/>
          <w:kern w:val="0"/>
          <w:sz w:val="32"/>
          <w:szCs w:val="32"/>
        </w:rPr>
      </w:pPr>
      <w:r>
        <w:rPr>
          <w:rFonts w:hint="eastAsia" w:ascii="仿宋_GB2312" w:hAnsi="仿宋_GB2312" w:eastAsia="仿宋_GB2312" w:cs="仿宋_GB2312"/>
          <w:snapToGrid w:val="0"/>
          <w:spacing w:val="5"/>
          <w:kern w:val="0"/>
          <w:sz w:val="32"/>
          <w:szCs w:val="32"/>
        </w:rPr>
        <w:t>4.1.3 培训可采用多样化培训方式，加强案例教学，注重职业道德、安全生产法律知识、安全生产责任意识、安全生产管理能力和安全生产技术知识等综合培训。</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napToGrid w:val="0"/>
          <w:spacing w:val="5"/>
          <w:kern w:val="0"/>
          <w:sz w:val="32"/>
          <w:szCs w:val="32"/>
        </w:rPr>
      </w:pPr>
      <w:r>
        <w:rPr>
          <w:rFonts w:hint="eastAsia" w:ascii="仿宋_GB2312" w:hAnsi="仿宋_GB2312" w:eastAsia="仿宋_GB2312" w:cs="仿宋_GB2312"/>
          <w:snapToGrid w:val="0"/>
          <w:spacing w:val="5"/>
          <w:kern w:val="0"/>
          <w:sz w:val="32"/>
          <w:szCs w:val="32"/>
        </w:rPr>
        <w:t>4.1.4 开展线上培训的，可设置学习记录、课程评价、防替学、防挂课等功能，充分利用技术手段保证培训效果。</w:t>
      </w:r>
    </w:p>
    <w:p>
      <w:pPr>
        <w:keepNext w:val="0"/>
        <w:keepLines w:val="0"/>
        <w:pageBreakBefore w:val="0"/>
        <w:widowControl w:val="0"/>
        <w:kinsoku w:val="0"/>
        <w:wordWrap/>
        <w:overflowPunct/>
        <w:topLinePunct w:val="0"/>
        <w:autoSpaceDE w:val="0"/>
        <w:autoSpaceDN w:val="0"/>
        <w:bidi w:val="0"/>
        <w:adjustRightInd w:val="0"/>
        <w:snapToGrid w:val="0"/>
        <w:spacing w:line="700" w:lineRule="exact"/>
        <w:ind w:firstLine="650" w:firstLineChars="200"/>
        <w:jc w:val="left"/>
        <w:textAlignment w:val="baseline"/>
        <w:rPr>
          <w:rFonts w:hint="eastAsia" w:ascii="楷体_GB2312" w:hAnsi="楷体" w:eastAsia="楷体_GB2312" w:cs="楷体"/>
          <w:b/>
          <w:bCs/>
          <w:snapToGrid w:val="0"/>
          <w:spacing w:val="2"/>
          <w:kern w:val="0"/>
          <w:sz w:val="32"/>
          <w:szCs w:val="32"/>
        </w:rPr>
      </w:pPr>
      <w:r>
        <w:rPr>
          <w:rFonts w:hint="eastAsia" w:ascii="楷体_GB2312" w:hAnsi="楷体" w:eastAsia="楷体_GB2312" w:cs="楷体"/>
          <w:b/>
          <w:bCs/>
          <w:snapToGrid w:val="0"/>
          <w:spacing w:val="2"/>
          <w:kern w:val="0"/>
          <w:sz w:val="32"/>
          <w:szCs w:val="32"/>
        </w:rPr>
        <w:t>4.2 培训内容</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ascii="仿宋_GB2312" w:hAnsi="仿宋_GB2312" w:eastAsia="仿宋_GB2312" w:cs="仿宋_GB2312"/>
          <w:snapToGrid w:val="0"/>
          <w:kern w:val="0"/>
          <w:sz w:val="32"/>
          <w:szCs w:val="32"/>
        </w:rPr>
        <w:t>4.2.1</w:t>
      </w:r>
      <w:r>
        <w:rPr>
          <w:rFonts w:hint="eastAsia" w:ascii="仿宋_GB2312" w:hAnsi="仿宋_GB2312" w:eastAsia="仿宋_GB2312" w:cs="仿宋_GB2312"/>
          <w:snapToGrid w:val="0"/>
          <w:kern w:val="0"/>
          <w:sz w:val="32"/>
          <w:szCs w:val="32"/>
        </w:rPr>
        <w:t xml:space="preserve"> 安全生产法律法规与责任意识</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 xml:space="preserve">4.2.1.1 </w:t>
      </w:r>
      <w:r>
        <w:rPr>
          <w:rFonts w:ascii="仿宋_GB2312" w:hAnsi="仿宋_GB2312" w:eastAsia="仿宋_GB2312" w:cs="仿宋_GB2312"/>
          <w:snapToGrid w:val="0"/>
          <w:kern w:val="0"/>
          <w:sz w:val="32"/>
          <w:szCs w:val="32"/>
        </w:rPr>
        <w:t>安全生产</w:t>
      </w:r>
      <w:r>
        <w:rPr>
          <w:rFonts w:hint="eastAsia" w:ascii="仿宋_GB2312" w:hAnsi="仿宋_GB2312" w:eastAsia="仿宋_GB2312" w:cs="仿宋_GB2312"/>
          <w:snapToGrid w:val="0"/>
          <w:kern w:val="0"/>
          <w:sz w:val="32"/>
          <w:szCs w:val="32"/>
        </w:rPr>
        <w:t>重要思想及方针政策</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w:t>
      </w:r>
      <w:bookmarkStart w:id="4" w:name="_Hlk208169536"/>
      <w:r>
        <w:rPr>
          <w:rFonts w:hint="eastAsia" w:ascii="仿宋_GB2312" w:hAnsi="仿宋_GB2312" w:eastAsia="仿宋_GB2312" w:cs="仿宋_GB2312"/>
          <w:snapToGrid w:val="0"/>
          <w:kern w:val="0"/>
          <w:sz w:val="32"/>
          <w:szCs w:val="32"/>
        </w:rPr>
        <w:t>习近平总书记关于安全生产重要论述</w:t>
      </w:r>
      <w:bookmarkEnd w:id="4"/>
      <w:r>
        <w:rPr>
          <w:rFonts w:hint="eastAsia" w:ascii="仿宋_GB2312" w:hAnsi="仿宋_GB2312" w:eastAsia="仿宋_GB2312" w:cs="仿宋_GB2312"/>
          <w:snapToGrid w:val="0"/>
          <w:kern w:val="0"/>
          <w:sz w:val="32"/>
          <w:szCs w:val="32"/>
        </w:rPr>
        <w:t>；</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2）国家安全生产方针、政策；</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3）国家安全生产监督管理体制。</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4.2.1.2 安全生产法律法规</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rPr>
        <w:t>1）</w:t>
      </w:r>
      <w:r>
        <w:rPr>
          <w:rFonts w:hint="eastAsia" w:ascii="仿宋_GB2312" w:hAnsi="仿宋_GB2312" w:eastAsia="仿宋_GB2312" w:cs="仿宋_GB2312"/>
          <w:snapToGrid w:val="0"/>
          <w:kern w:val="0"/>
          <w:sz w:val="32"/>
          <w:szCs w:val="32"/>
          <w:lang w:val="en-US" w:eastAsia="zh-CN"/>
        </w:rPr>
        <w:t>国家安全生产法律体系框架；</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lang w:val="en-US" w:eastAsia="zh-CN"/>
        </w:rPr>
        <w:t>2）</w:t>
      </w:r>
      <w:r>
        <w:rPr>
          <w:rFonts w:hint="eastAsia" w:ascii="仿宋_GB2312" w:hAnsi="仿宋_GB2312" w:eastAsia="仿宋_GB2312" w:cs="仿宋_GB2312"/>
          <w:snapToGrid w:val="0"/>
          <w:kern w:val="0"/>
          <w:sz w:val="32"/>
          <w:szCs w:val="32"/>
          <w:highlight w:val="none"/>
        </w:rPr>
        <w:t>常用安全生产相关法律法规规章，包括《中华人民共和国安全生产法》《中华人民共和国消防法》《中华人民共和国特种设备安全法》《生产安全事故应急条例》《生产安全事故报告和调查处理条例》《工伤保险条例》《生产安全事故应急预案管理办法》等；</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lang w:val="en-US" w:eastAsia="zh-CN"/>
        </w:rPr>
        <w:t>3</w:t>
      </w:r>
      <w:r>
        <w:rPr>
          <w:rFonts w:hint="eastAsia" w:ascii="仿宋_GB2312" w:hAnsi="仿宋_GB2312" w:eastAsia="仿宋_GB2312" w:cs="仿宋_GB2312"/>
          <w:snapToGrid w:val="0"/>
          <w:kern w:val="0"/>
          <w:sz w:val="32"/>
          <w:szCs w:val="32"/>
        </w:rPr>
        <w:t>）所属行业有关安全生产国家标准、行业标准。</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4.2.1.3 安全责任意识</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w:t>
      </w:r>
      <w:r>
        <w:rPr>
          <w:rFonts w:hint="eastAsia" w:ascii="仿宋_GB2312" w:hAnsi="仿宋_GB2312" w:eastAsia="仿宋_GB2312" w:cs="仿宋_GB2312"/>
          <w:snapToGrid w:val="0"/>
          <w:kern w:val="0"/>
          <w:sz w:val="32"/>
          <w:szCs w:val="32"/>
          <w:lang w:val="en-US" w:eastAsia="zh-CN"/>
        </w:rPr>
        <w:t>生产经营单位主要负责人和安全生产管理人员的安全生产职责</w:t>
      </w:r>
      <w:r>
        <w:rPr>
          <w:rFonts w:hint="eastAsia" w:ascii="仿宋_GB2312" w:hAnsi="仿宋_GB2312" w:eastAsia="仿宋_GB2312" w:cs="仿宋_GB2312"/>
          <w:snapToGrid w:val="0"/>
          <w:kern w:val="0"/>
          <w:sz w:val="32"/>
          <w:szCs w:val="32"/>
        </w:rPr>
        <w:t>；</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kern w:val="0"/>
          <w:sz w:val="32"/>
          <w:szCs w:val="32"/>
          <w:lang w:eastAsia="zh-CN"/>
        </w:rPr>
      </w:pPr>
      <w:r>
        <w:rPr>
          <w:rFonts w:hint="eastAsia" w:ascii="仿宋_GB2312" w:hAnsi="仿宋_GB2312" w:eastAsia="仿宋_GB2312" w:cs="仿宋_GB2312"/>
          <w:snapToGrid w:val="0"/>
          <w:kern w:val="0"/>
          <w:sz w:val="32"/>
          <w:szCs w:val="32"/>
        </w:rPr>
        <w:t>2）</w:t>
      </w:r>
      <w:r>
        <w:rPr>
          <w:rFonts w:hint="eastAsia" w:ascii="仿宋_GB2312" w:hAnsi="仿宋_GB2312" w:eastAsia="仿宋_GB2312" w:cs="仿宋_GB2312"/>
          <w:snapToGrid w:val="0"/>
          <w:kern w:val="0"/>
          <w:sz w:val="32"/>
          <w:szCs w:val="32"/>
          <w:lang w:val="en-US" w:eastAsia="zh-CN"/>
        </w:rPr>
        <w:t>生产经营单位从业人员的安全生产权利和义务</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lang w:val="en-US" w:eastAsia="zh-CN"/>
        </w:rPr>
        <w:t>3）</w:t>
      </w:r>
      <w:r>
        <w:rPr>
          <w:rFonts w:hint="eastAsia" w:ascii="仿宋_GB2312" w:hAnsi="仿宋_GB2312" w:eastAsia="仿宋_GB2312" w:cs="仿宋_GB2312"/>
          <w:snapToGrid w:val="0"/>
          <w:kern w:val="0"/>
          <w:sz w:val="32"/>
          <w:szCs w:val="32"/>
        </w:rPr>
        <w:t>《</w:t>
      </w:r>
      <w:r>
        <w:rPr>
          <w:rFonts w:hint="eastAsia" w:ascii="仿宋_GB2312" w:hAnsi="仿宋_GB2312" w:eastAsia="仿宋_GB2312" w:cs="仿宋_GB2312"/>
          <w:snapToGrid w:val="0"/>
          <w:kern w:val="0"/>
          <w:sz w:val="32"/>
          <w:szCs w:val="32"/>
          <w:lang w:val="en-US" w:eastAsia="zh-CN"/>
        </w:rPr>
        <w:t>中华人民共和国</w:t>
      </w:r>
      <w:r>
        <w:rPr>
          <w:rFonts w:hint="eastAsia" w:ascii="仿宋_GB2312" w:hAnsi="仿宋_GB2312" w:eastAsia="仿宋_GB2312" w:cs="仿宋_GB2312"/>
          <w:snapToGrid w:val="0"/>
          <w:kern w:val="0"/>
          <w:sz w:val="32"/>
          <w:szCs w:val="32"/>
        </w:rPr>
        <w:t>刑法》有关重大责任事故罪，强令、组织他人违章冒险作业罪，危险作业罪、重大劳动安全事故罪，不报、谎报安全事故罪等法条规定。</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ascii="仿宋_GB2312" w:hAnsi="仿宋_GB2312" w:eastAsia="仿宋_GB2312" w:cs="仿宋_GB2312"/>
          <w:snapToGrid w:val="0"/>
          <w:kern w:val="0"/>
          <w:sz w:val="32"/>
          <w:szCs w:val="32"/>
        </w:rPr>
        <w:t>4.2.2</w:t>
      </w:r>
      <w:r>
        <w:rPr>
          <w:rFonts w:hint="eastAsia" w:ascii="仿宋_GB2312" w:hAnsi="仿宋_GB2312" w:eastAsia="仿宋_GB2312" w:cs="仿宋_GB2312"/>
          <w:snapToGrid w:val="0"/>
          <w:kern w:val="0"/>
          <w:sz w:val="32"/>
          <w:szCs w:val="32"/>
        </w:rPr>
        <w:t xml:space="preserve"> </w:t>
      </w:r>
      <w:r>
        <w:rPr>
          <w:rFonts w:ascii="仿宋_GB2312" w:hAnsi="仿宋_GB2312" w:eastAsia="仿宋_GB2312" w:cs="仿宋_GB2312"/>
          <w:snapToGrid w:val="0"/>
          <w:kern w:val="0"/>
          <w:sz w:val="32"/>
          <w:szCs w:val="32"/>
        </w:rPr>
        <w:t>安全生产管理</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 xml:space="preserve">4.2.2.1 </w:t>
      </w:r>
      <w:r>
        <w:rPr>
          <w:rFonts w:ascii="仿宋_GB2312" w:hAnsi="仿宋_GB2312" w:eastAsia="仿宋_GB2312" w:cs="仿宋_GB2312"/>
          <w:snapToGrid w:val="0"/>
          <w:kern w:val="0"/>
          <w:sz w:val="32"/>
          <w:szCs w:val="32"/>
        </w:rPr>
        <w:t>安</w:t>
      </w:r>
      <w:r>
        <w:rPr>
          <w:rFonts w:hint="eastAsia" w:ascii="仿宋_GB2312" w:hAnsi="仿宋_GB2312" w:eastAsia="仿宋_GB2312" w:cs="仿宋_GB2312"/>
          <w:snapToGrid w:val="0"/>
          <w:kern w:val="0"/>
          <w:sz w:val="32"/>
          <w:szCs w:val="32"/>
        </w:rPr>
        <w:t>全生产管理基础知识</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1）安全生产管理基本概念；</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2）事故致因及安全原理；</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3）安全生产管理理念。</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4.2.2.2 安全生产管理组织与规章制度</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1）安全生产管理机构与管理人员配置要求；</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2）全员安全生产责任制；</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3）安全生产规章制度和操作规程；</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4）相关方管理。</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4.2.2.3 安全生产资源保障</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1）安全生产投入；</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2）建设项目安全设施“三同时”；</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3）个体防护装备管理；</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lang w:eastAsia="zh-CN"/>
        </w:rPr>
      </w:pPr>
      <w:r>
        <w:rPr>
          <w:rFonts w:hint="eastAsia" w:ascii="仿宋_GB2312" w:hAnsi="仿宋_GB2312" w:eastAsia="仿宋_GB2312" w:cs="仿宋_GB2312"/>
          <w:spacing w:val="5"/>
          <w:sz w:val="32"/>
          <w:szCs w:val="32"/>
        </w:rPr>
        <w:t>4）工伤保险、安全生产责任保险</w:t>
      </w:r>
      <w:r>
        <w:rPr>
          <w:rFonts w:hint="eastAsia" w:ascii="仿宋_GB2312" w:hAnsi="仿宋_GB2312" w:eastAsia="仿宋_GB2312" w:cs="仿宋_GB2312"/>
          <w:spacing w:val="5"/>
          <w:sz w:val="32"/>
          <w:szCs w:val="32"/>
          <w:lang w:eastAsia="zh-CN"/>
        </w:rPr>
        <w:t>；</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lang w:val="en-US" w:eastAsia="zh-CN"/>
        </w:rPr>
        <w:t>5）女职工劳动保护特别规定</w:t>
      </w:r>
      <w:r>
        <w:rPr>
          <w:rFonts w:hint="eastAsia" w:ascii="仿宋_GB2312" w:hAnsi="仿宋_GB2312" w:eastAsia="仿宋_GB2312" w:cs="仿宋_GB2312"/>
          <w:spacing w:val="5"/>
          <w:sz w:val="32"/>
          <w:szCs w:val="32"/>
        </w:rPr>
        <w:t>。</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4.2.2.4 安全生产能力建设</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1）安全生产教育培训；</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2）企业安全文化建设；</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3）安全生产标准化建设。</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4.2.2.5 风险分级管控与隐患排查治理</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1）风险分级管控；</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2）隐患排查治理；</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3）安全生产检查与隐患整改。</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4.2.2.6 设备设施与作业安全管理</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1）安全设备设施管理；</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2）特种设备设施管理；</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3）作业现场定置管理与环境安全；</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4）</w:t>
      </w:r>
      <w:r>
        <w:rPr>
          <w:rFonts w:hint="eastAsia" w:ascii="仿宋_GB2312" w:hAnsi="仿宋_GB2312" w:eastAsia="仿宋_GB2312" w:cs="仿宋_GB2312"/>
          <w:spacing w:val="5"/>
          <w:sz w:val="32"/>
          <w:szCs w:val="32"/>
          <w:lang w:val="en-US" w:eastAsia="zh-CN"/>
        </w:rPr>
        <w:t>危险</w:t>
      </w:r>
      <w:r>
        <w:rPr>
          <w:rFonts w:hint="eastAsia" w:ascii="仿宋_GB2312" w:hAnsi="仿宋_GB2312" w:eastAsia="仿宋_GB2312" w:cs="仿宋_GB2312"/>
          <w:spacing w:val="5"/>
          <w:sz w:val="32"/>
          <w:szCs w:val="32"/>
        </w:rPr>
        <w:t>作业安全管理。</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4.2.2.7 应急管理与灾害事故处理</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1）应急救援组织实施；</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2）应急预案编制与管理，应急演练；</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3）事故信息报告；</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4）事故调查与处理；</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5）自然灾害应对。</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4.2.2.8 国内外先进安全生产管理经验</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 xml:space="preserve">4.2.2.9 </w:t>
      </w:r>
      <w:r>
        <w:rPr>
          <w:rFonts w:hint="eastAsia" w:ascii="仿宋_GB2312" w:hAnsi="仿宋_GB2312" w:eastAsia="仿宋_GB2312" w:cs="仿宋_GB2312"/>
          <w:spacing w:val="5"/>
          <w:sz w:val="32"/>
          <w:szCs w:val="32"/>
          <w:lang w:eastAsia="zh-CN"/>
        </w:rPr>
        <w:t>典型生产安全事故</w:t>
      </w:r>
      <w:r>
        <w:rPr>
          <w:rFonts w:hint="eastAsia" w:ascii="仿宋_GB2312" w:hAnsi="仿宋_GB2312" w:eastAsia="仿宋_GB2312" w:cs="仿宋_GB2312"/>
          <w:spacing w:val="5"/>
          <w:sz w:val="32"/>
          <w:szCs w:val="32"/>
        </w:rPr>
        <w:t>和应急救援案例分析</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ascii="仿宋_GB2312" w:hAnsi="仿宋_GB2312" w:eastAsia="仿宋_GB2312" w:cs="仿宋_GB2312"/>
          <w:snapToGrid w:val="0"/>
          <w:kern w:val="0"/>
          <w:sz w:val="32"/>
          <w:szCs w:val="32"/>
        </w:rPr>
        <w:t>4.2.3</w:t>
      </w:r>
      <w:r>
        <w:rPr>
          <w:rFonts w:hint="eastAsia" w:ascii="仿宋_GB2312" w:hAnsi="仿宋_GB2312" w:eastAsia="仿宋_GB2312" w:cs="仿宋_GB2312"/>
          <w:snapToGrid w:val="0"/>
          <w:kern w:val="0"/>
          <w:sz w:val="32"/>
          <w:szCs w:val="32"/>
        </w:rPr>
        <w:t xml:space="preserve"> </w:t>
      </w:r>
      <w:r>
        <w:rPr>
          <w:rFonts w:ascii="仿宋_GB2312" w:hAnsi="仿宋_GB2312" w:eastAsia="仿宋_GB2312" w:cs="仿宋_GB2312"/>
          <w:snapToGrid w:val="0"/>
          <w:kern w:val="0"/>
          <w:sz w:val="32"/>
          <w:szCs w:val="32"/>
        </w:rPr>
        <w:t>安全生产技术</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ascii="仿宋_GB2312" w:hAnsi="仿宋_GB2312" w:eastAsia="仿宋_GB2312" w:cs="仿宋_GB2312"/>
          <w:snapToGrid w:val="0"/>
          <w:kern w:val="0"/>
          <w:sz w:val="32"/>
          <w:szCs w:val="32"/>
        </w:rPr>
        <w:t>4.2.3</w:t>
      </w:r>
      <w:r>
        <w:rPr>
          <w:rFonts w:hint="eastAsia" w:ascii="仿宋_GB2312" w:hAnsi="仿宋_GB2312" w:eastAsia="仿宋_GB2312" w:cs="仿宋_GB2312"/>
          <w:snapToGrid w:val="0"/>
          <w:kern w:val="0"/>
          <w:sz w:val="32"/>
          <w:szCs w:val="32"/>
        </w:rPr>
        <w:t>.1 通用安全技术。主要包括机械、电气、防火防爆、特种设备、危险作业、危险化学品等</w:t>
      </w:r>
      <w:r>
        <w:rPr>
          <w:rFonts w:hint="eastAsia" w:ascii="仿宋_GB2312" w:hAnsi="仿宋_GB2312" w:eastAsia="仿宋_GB2312" w:cs="仿宋_GB2312"/>
          <w:snapToGrid w:val="0"/>
          <w:kern w:val="0"/>
          <w:sz w:val="32"/>
          <w:szCs w:val="32"/>
          <w:lang w:val="en-US" w:eastAsia="zh-CN"/>
        </w:rPr>
        <w:t>安全技术</w:t>
      </w:r>
      <w:r>
        <w:rPr>
          <w:rFonts w:hint="eastAsia" w:ascii="仿宋_GB2312" w:hAnsi="仿宋_GB2312" w:eastAsia="仿宋_GB2312" w:cs="仿宋_GB2312"/>
          <w:snapToGrid w:val="0"/>
          <w:kern w:val="0"/>
          <w:sz w:val="32"/>
          <w:szCs w:val="32"/>
        </w:rPr>
        <w:t>。</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ascii="仿宋_GB2312" w:hAnsi="仿宋_GB2312" w:eastAsia="仿宋_GB2312" w:cs="仿宋_GB2312"/>
          <w:snapToGrid w:val="0"/>
          <w:kern w:val="0"/>
          <w:sz w:val="32"/>
          <w:szCs w:val="32"/>
        </w:rPr>
        <w:t>4.2.3</w:t>
      </w:r>
      <w:r>
        <w:rPr>
          <w:rFonts w:hint="eastAsia" w:ascii="仿宋_GB2312" w:hAnsi="仿宋_GB2312" w:eastAsia="仿宋_GB2312" w:cs="仿宋_GB2312"/>
          <w:snapToGrid w:val="0"/>
          <w:kern w:val="0"/>
          <w:sz w:val="32"/>
          <w:szCs w:val="32"/>
        </w:rPr>
        <w:t>.2 本行业安全生产专业技术。结合本行业的安全生产特点及重点监管专项领域，实施安全生产专业技术知识培训。</w:t>
      </w:r>
    </w:p>
    <w:p>
      <w:pPr>
        <w:keepNext w:val="0"/>
        <w:keepLines w:val="0"/>
        <w:pageBreakBefore w:val="0"/>
        <w:widowControl w:val="0"/>
        <w:kinsoku w:val="0"/>
        <w:wordWrap/>
        <w:overflowPunct/>
        <w:topLinePunct w:val="0"/>
        <w:autoSpaceDE w:val="0"/>
        <w:autoSpaceDN w:val="0"/>
        <w:bidi w:val="0"/>
        <w:adjustRightInd w:val="0"/>
        <w:snapToGrid w:val="0"/>
        <w:spacing w:line="700" w:lineRule="exact"/>
        <w:ind w:firstLine="650" w:firstLineChars="200"/>
        <w:jc w:val="left"/>
        <w:textAlignment w:val="baseline"/>
        <w:rPr>
          <w:rFonts w:hint="eastAsia" w:ascii="楷体_GB2312" w:hAnsi="楷体" w:eastAsia="楷体_GB2312" w:cs="楷体"/>
          <w:b/>
          <w:bCs/>
          <w:spacing w:val="2"/>
          <w:sz w:val="32"/>
          <w:szCs w:val="32"/>
        </w:rPr>
      </w:pPr>
      <w:r>
        <w:rPr>
          <w:rFonts w:hint="eastAsia" w:ascii="楷体_GB2312" w:hAnsi="楷体" w:eastAsia="楷体_GB2312" w:cs="楷体"/>
          <w:b/>
          <w:bCs/>
          <w:spacing w:val="2"/>
          <w:sz w:val="32"/>
          <w:szCs w:val="32"/>
        </w:rPr>
        <w:t>4.3 再培训内容</w:t>
      </w:r>
    </w:p>
    <w:p>
      <w:pPr>
        <w:keepNext w:val="0"/>
        <w:keepLines w:val="0"/>
        <w:pageBreakBefore w:val="0"/>
        <w:widowControl w:val="0"/>
        <w:wordWrap/>
        <w:overflowPunct/>
        <w:topLinePunct w:val="0"/>
        <w:bidi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4.3.1 习近平总书记关于安全生产重要论述。</w:t>
      </w:r>
    </w:p>
    <w:p>
      <w:pPr>
        <w:keepNext w:val="0"/>
        <w:keepLines w:val="0"/>
        <w:pageBreakBefore w:val="0"/>
        <w:widowControl w:val="0"/>
        <w:wordWrap/>
        <w:overflowPunct/>
        <w:topLinePunct w:val="0"/>
        <w:bidi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4.3.2 安全生产最新法律法规、国家标准和行业标准。</w:t>
      </w:r>
    </w:p>
    <w:p>
      <w:pPr>
        <w:keepNext w:val="0"/>
        <w:keepLines w:val="0"/>
        <w:pageBreakBefore w:val="0"/>
        <w:widowControl w:val="0"/>
        <w:wordWrap/>
        <w:overflowPunct/>
        <w:topLinePunct w:val="0"/>
        <w:bidi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4.3.3 本行业新材料、新设备、新工艺及新技术的安全技术要求。</w:t>
      </w:r>
    </w:p>
    <w:p>
      <w:pPr>
        <w:keepNext w:val="0"/>
        <w:keepLines w:val="0"/>
        <w:pageBreakBefore w:val="0"/>
        <w:widowControl w:val="0"/>
        <w:wordWrap/>
        <w:overflowPunct/>
        <w:topLinePunct w:val="0"/>
        <w:bidi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4.3.4 本行业国内外先进安全生产管理经验。</w:t>
      </w:r>
    </w:p>
    <w:p>
      <w:pPr>
        <w:keepNext w:val="0"/>
        <w:keepLines w:val="0"/>
        <w:pageBreakBefore w:val="0"/>
        <w:widowControl w:val="0"/>
        <w:wordWrap/>
        <w:overflowPunct/>
        <w:topLinePunct w:val="0"/>
        <w:bidi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4.3.5 本行业</w:t>
      </w:r>
      <w:r>
        <w:rPr>
          <w:rFonts w:hint="eastAsia" w:ascii="仿宋_GB2312" w:hAnsi="仿宋_GB2312" w:eastAsia="仿宋_GB2312" w:cs="仿宋_GB2312"/>
          <w:bCs/>
          <w:sz w:val="32"/>
          <w:szCs w:val="32"/>
          <w:lang w:eastAsia="zh-CN"/>
        </w:rPr>
        <w:t>典型生产安全事故</w:t>
      </w:r>
      <w:r>
        <w:rPr>
          <w:rFonts w:hint="eastAsia" w:ascii="仿宋_GB2312" w:hAnsi="仿宋_GB2312" w:eastAsia="仿宋_GB2312" w:cs="仿宋_GB2312"/>
          <w:bCs/>
          <w:sz w:val="32"/>
          <w:szCs w:val="32"/>
        </w:rPr>
        <w:t>案例分析。</w:t>
      </w:r>
    </w:p>
    <w:p>
      <w:pPr>
        <w:keepNext w:val="0"/>
        <w:keepLines w:val="0"/>
        <w:pageBreakBefore w:val="0"/>
        <w:widowControl w:val="0"/>
        <w:kinsoku w:val="0"/>
        <w:wordWrap/>
        <w:overflowPunct/>
        <w:topLinePunct w:val="0"/>
        <w:autoSpaceDE w:val="0"/>
        <w:autoSpaceDN w:val="0"/>
        <w:bidi w:val="0"/>
        <w:adjustRightInd w:val="0"/>
        <w:snapToGrid w:val="0"/>
        <w:spacing w:line="700" w:lineRule="exact"/>
        <w:ind w:firstLine="650" w:firstLineChars="200"/>
        <w:jc w:val="left"/>
        <w:textAlignment w:val="baseline"/>
        <w:rPr>
          <w:rFonts w:hint="eastAsia" w:ascii="楷体_GB2312" w:hAnsi="楷体" w:eastAsia="楷体_GB2312" w:cs="楷体"/>
          <w:b/>
          <w:bCs/>
          <w:spacing w:val="2"/>
          <w:sz w:val="32"/>
          <w:szCs w:val="32"/>
        </w:rPr>
      </w:pPr>
      <w:r>
        <w:rPr>
          <w:rFonts w:hint="eastAsia" w:ascii="楷体_GB2312" w:hAnsi="楷体" w:eastAsia="楷体_GB2312" w:cs="楷体"/>
          <w:b/>
          <w:bCs/>
          <w:spacing w:val="2"/>
          <w:sz w:val="32"/>
          <w:szCs w:val="32"/>
        </w:rPr>
        <w:t>4.4 学时安排</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napToGrid w:val="0"/>
          <w:spacing w:val="5"/>
          <w:kern w:val="0"/>
          <w:sz w:val="32"/>
          <w:szCs w:val="32"/>
        </w:rPr>
      </w:pPr>
      <w:r>
        <w:rPr>
          <w:rFonts w:hint="eastAsia" w:ascii="仿宋_GB2312" w:hAnsi="仿宋_GB2312" w:eastAsia="仿宋_GB2312" w:cs="仿宋_GB2312"/>
          <w:snapToGrid w:val="0"/>
          <w:spacing w:val="5"/>
          <w:kern w:val="0"/>
          <w:sz w:val="32"/>
          <w:szCs w:val="32"/>
        </w:rPr>
        <w:t>初次培训时间不少于32学时，每年再培训时间不少于12学时</w:t>
      </w:r>
      <w:r>
        <w:rPr>
          <w:rFonts w:hint="eastAsia" w:ascii="仿宋_GB2312" w:hAnsi="仿宋_GB2312" w:eastAsia="仿宋_GB2312" w:cs="仿宋_GB2312"/>
          <w:spacing w:val="5"/>
          <w:sz w:val="32"/>
          <w:szCs w:val="32"/>
        </w:rPr>
        <w:t>，每学时不少于 45 分钟</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bCs/>
          <w:sz w:val="32"/>
          <w:szCs w:val="32"/>
        </w:rPr>
        <w:t>具体学时安排见下表</w:t>
      </w:r>
      <w:r>
        <w:rPr>
          <w:rFonts w:hint="eastAsia" w:ascii="仿宋_GB2312" w:hAnsi="仿宋_GB2312" w:eastAsia="仿宋_GB2312" w:cs="仿宋_GB2312"/>
          <w:snapToGrid w:val="0"/>
          <w:spacing w:val="5"/>
          <w:kern w:val="0"/>
          <w:sz w:val="32"/>
          <w:szCs w:val="32"/>
        </w:rPr>
        <w:t>。</w:t>
      </w:r>
    </w:p>
    <w:p>
      <w:pPr>
        <w:keepNext w:val="0"/>
        <w:keepLines w:val="0"/>
        <w:pageBreakBefore w:val="0"/>
        <w:widowControl w:val="0"/>
        <w:wordWrap/>
        <w:overflowPunct/>
        <w:topLinePunct w:val="0"/>
        <w:bidi w:val="0"/>
        <w:jc w:val="center"/>
        <w:rPr>
          <w:rFonts w:hint="eastAsia" w:ascii="宋体" w:hAnsi="宋体" w:eastAsia="宋体"/>
          <w:b/>
          <w:sz w:val="28"/>
          <w:szCs w:val="28"/>
        </w:rPr>
      </w:pPr>
      <w:r>
        <w:rPr>
          <w:rFonts w:hint="eastAsia" w:ascii="宋体" w:hAnsi="宋体" w:eastAsia="宋体" w:cs="黑体"/>
          <w:b/>
          <w:sz w:val="28"/>
          <w:szCs w:val="28"/>
        </w:rPr>
        <w:br w:type="page"/>
      </w:r>
      <w:r>
        <w:rPr>
          <w:rFonts w:hint="eastAsia" w:ascii="宋体" w:hAnsi="宋体" w:eastAsia="宋体" w:cs="黑体"/>
          <w:b/>
          <w:sz w:val="28"/>
          <w:szCs w:val="28"/>
        </w:rPr>
        <w:t>培训学时安排表</w:t>
      </w:r>
    </w:p>
    <w:tbl>
      <w:tblPr>
        <w:tblStyle w:val="9"/>
        <w:tblW w:w="483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078"/>
        <w:gridCol w:w="1934"/>
        <w:gridCol w:w="4065"/>
        <w:gridCol w:w="790"/>
        <w:gridCol w:w="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623" w:type="pct"/>
            <w:shd w:val="clear" w:color="auto" w:fill="FFFFFF"/>
            <w:tcMar>
              <w:top w:w="0" w:type="dxa"/>
              <w:left w:w="105" w:type="dxa"/>
              <w:bottom w:w="0" w:type="dxa"/>
              <w:right w:w="105" w:type="dxa"/>
            </w:tcMar>
            <w:vAlign w:val="center"/>
          </w:tcPr>
          <w:p>
            <w:pPr>
              <w:keepNext w:val="0"/>
              <w:keepLines w:val="0"/>
              <w:pageBreakBefore w:val="0"/>
              <w:widowControl w:val="0"/>
              <w:wordWrap/>
              <w:overflowPunct/>
              <w:topLinePunct w:val="0"/>
              <w:bidi w:val="0"/>
              <w:jc w:val="center"/>
              <w:rPr>
                <w:b/>
                <w:bCs/>
              </w:rPr>
            </w:pPr>
            <w:r>
              <w:rPr>
                <w:rFonts w:hint="eastAsia"/>
                <w:b/>
                <w:bCs/>
              </w:rPr>
              <w:t>培训类别</w:t>
            </w:r>
          </w:p>
        </w:tc>
        <w:tc>
          <w:tcPr>
            <w:tcW w:w="3465" w:type="pct"/>
            <w:gridSpan w:val="2"/>
            <w:shd w:val="clear" w:color="auto" w:fill="FFFFFF"/>
            <w:tcMar>
              <w:top w:w="0" w:type="dxa"/>
              <w:left w:w="105" w:type="dxa"/>
              <w:bottom w:w="0" w:type="dxa"/>
              <w:right w:w="105" w:type="dxa"/>
            </w:tcMar>
            <w:vAlign w:val="center"/>
          </w:tcPr>
          <w:p>
            <w:pPr>
              <w:keepNext w:val="0"/>
              <w:keepLines w:val="0"/>
              <w:pageBreakBefore w:val="0"/>
              <w:widowControl w:val="0"/>
              <w:wordWrap/>
              <w:overflowPunct/>
              <w:topLinePunct w:val="0"/>
              <w:bidi w:val="0"/>
              <w:jc w:val="center"/>
              <w:rPr>
                <w:b/>
                <w:bCs/>
              </w:rPr>
            </w:pPr>
            <w:r>
              <w:rPr>
                <w:rFonts w:hint="eastAsia"/>
                <w:b/>
                <w:bCs/>
              </w:rPr>
              <w:t>培训内容</w:t>
            </w:r>
          </w:p>
        </w:tc>
        <w:tc>
          <w:tcPr>
            <w:tcW w:w="456" w:type="pct"/>
            <w:shd w:val="clear" w:color="auto" w:fill="FFFFFF"/>
            <w:tcMar>
              <w:top w:w="0" w:type="dxa"/>
              <w:left w:w="105" w:type="dxa"/>
              <w:bottom w:w="0" w:type="dxa"/>
              <w:right w:w="105" w:type="dxa"/>
            </w:tcMar>
            <w:vAlign w:val="center"/>
          </w:tcPr>
          <w:p>
            <w:pPr>
              <w:keepNext w:val="0"/>
              <w:keepLines w:val="0"/>
              <w:pageBreakBefore w:val="0"/>
              <w:widowControl w:val="0"/>
              <w:wordWrap/>
              <w:overflowPunct/>
              <w:topLinePunct w:val="0"/>
              <w:bidi w:val="0"/>
              <w:jc w:val="center"/>
              <w:rPr>
                <w:b/>
                <w:bCs/>
              </w:rPr>
            </w:pPr>
            <w:r>
              <w:rPr>
                <w:rFonts w:hint="eastAsia"/>
                <w:b/>
                <w:bCs/>
              </w:rPr>
              <w:t>学时</w:t>
            </w:r>
          </w:p>
        </w:tc>
        <w:tc>
          <w:tcPr>
            <w:tcW w:w="456" w:type="pct"/>
            <w:shd w:val="clear" w:color="auto" w:fill="FFFFFF"/>
            <w:vAlign w:val="center"/>
          </w:tcPr>
          <w:p>
            <w:pPr>
              <w:keepNext w:val="0"/>
              <w:keepLines w:val="0"/>
              <w:pageBreakBefore w:val="0"/>
              <w:widowControl w:val="0"/>
              <w:wordWrap/>
              <w:overflowPunct/>
              <w:topLinePunct w:val="0"/>
              <w:bidi w:val="0"/>
              <w:jc w:val="center"/>
              <w:rPr>
                <w:b/>
                <w:bCs/>
              </w:rPr>
            </w:pPr>
            <w:r>
              <w:rPr>
                <w:rFonts w:hint="eastAsia"/>
                <w:b/>
                <w:bCs/>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23" w:type="pct"/>
            <w:vMerge w:val="restart"/>
            <w:shd w:val="clear" w:color="auto" w:fill="FFFFFF"/>
            <w:vAlign w:val="center"/>
          </w:tcPr>
          <w:p>
            <w:pPr>
              <w:keepNext w:val="0"/>
              <w:keepLines w:val="0"/>
              <w:pageBreakBefore w:val="0"/>
              <w:widowControl w:val="0"/>
              <w:wordWrap/>
              <w:overflowPunct/>
              <w:topLinePunct w:val="0"/>
              <w:bidi w:val="0"/>
            </w:pPr>
            <w:r>
              <w:rPr>
                <w:rFonts w:hint="eastAsia"/>
              </w:rPr>
              <w:t>初次培训</w:t>
            </w:r>
          </w:p>
        </w:tc>
        <w:tc>
          <w:tcPr>
            <w:tcW w:w="1117" w:type="pct"/>
            <w:vMerge w:val="restart"/>
            <w:shd w:val="clear" w:color="auto" w:fill="FFFFFF"/>
            <w:tcMar>
              <w:top w:w="0" w:type="dxa"/>
              <w:left w:w="105" w:type="dxa"/>
              <w:bottom w:w="0" w:type="dxa"/>
              <w:right w:w="105" w:type="dxa"/>
            </w:tcMar>
            <w:vAlign w:val="center"/>
          </w:tcPr>
          <w:p>
            <w:pPr>
              <w:keepNext w:val="0"/>
              <w:keepLines w:val="0"/>
              <w:pageBreakBefore w:val="0"/>
              <w:widowControl w:val="0"/>
              <w:wordWrap/>
              <w:overflowPunct/>
              <w:topLinePunct w:val="0"/>
              <w:bidi w:val="0"/>
            </w:pPr>
            <w:r>
              <w:rPr>
                <w:rFonts w:hint="eastAsia"/>
              </w:rPr>
              <w:t>安全生产法律法规与责任意识</w:t>
            </w:r>
          </w:p>
        </w:tc>
        <w:tc>
          <w:tcPr>
            <w:tcW w:w="2348" w:type="pct"/>
            <w:shd w:val="clear" w:color="auto" w:fill="FFFFFF"/>
            <w:tcMar>
              <w:top w:w="0" w:type="dxa"/>
              <w:left w:w="105" w:type="dxa"/>
              <w:bottom w:w="0" w:type="dxa"/>
              <w:right w:w="105" w:type="dxa"/>
            </w:tcMar>
            <w:vAlign w:val="center"/>
          </w:tcPr>
          <w:p>
            <w:pPr>
              <w:keepNext w:val="0"/>
              <w:keepLines w:val="0"/>
              <w:pageBreakBefore w:val="0"/>
              <w:widowControl w:val="0"/>
              <w:wordWrap/>
              <w:overflowPunct/>
              <w:topLinePunct w:val="0"/>
              <w:bidi w:val="0"/>
            </w:pPr>
            <w:r>
              <w:rPr>
                <w:rFonts w:hint="eastAsia"/>
              </w:rPr>
              <w:t>安全生产重要思想及方针政策</w:t>
            </w:r>
          </w:p>
        </w:tc>
        <w:tc>
          <w:tcPr>
            <w:tcW w:w="456" w:type="pct"/>
            <w:shd w:val="clear" w:color="auto" w:fill="FFFFFF"/>
            <w:tcMar>
              <w:top w:w="0" w:type="dxa"/>
              <w:left w:w="105" w:type="dxa"/>
              <w:bottom w:w="0" w:type="dxa"/>
              <w:right w:w="105" w:type="dxa"/>
            </w:tcMar>
            <w:vAlign w:val="center"/>
          </w:tcPr>
          <w:p>
            <w:pPr>
              <w:keepNext w:val="0"/>
              <w:keepLines w:val="0"/>
              <w:pageBreakBefore w:val="0"/>
              <w:widowControl w:val="0"/>
              <w:wordWrap/>
              <w:overflowPunct/>
              <w:topLinePunct w:val="0"/>
              <w:bidi w:val="0"/>
              <w:jc w:val="center"/>
            </w:pPr>
            <w:r>
              <w:rPr>
                <w:rFonts w:hint="eastAsia"/>
              </w:rPr>
              <w:t>2</w:t>
            </w:r>
          </w:p>
        </w:tc>
        <w:tc>
          <w:tcPr>
            <w:tcW w:w="456" w:type="pct"/>
            <w:vMerge w:val="restart"/>
            <w:shd w:val="clear" w:color="auto" w:fill="FFFFFF"/>
            <w:vAlign w:val="center"/>
          </w:tcPr>
          <w:p>
            <w:pPr>
              <w:keepNext w:val="0"/>
              <w:keepLines w:val="0"/>
              <w:pageBreakBefore w:val="0"/>
              <w:widowControl w:val="0"/>
              <w:wordWrap/>
              <w:overflowPunct/>
              <w:topLinePunct w:val="0"/>
              <w:bidi w:val="0"/>
              <w:jc w:val="center"/>
            </w:pPr>
            <w:r>
              <w:rPr>
                <w:rFonts w:hint="eastAsia"/>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23" w:type="pct"/>
            <w:vMerge w:val="continue"/>
            <w:shd w:val="clear" w:color="auto" w:fill="FFFFFF"/>
            <w:vAlign w:val="center"/>
          </w:tcPr>
          <w:p>
            <w:pPr>
              <w:keepNext w:val="0"/>
              <w:keepLines w:val="0"/>
              <w:pageBreakBefore w:val="0"/>
              <w:widowControl w:val="0"/>
              <w:wordWrap/>
              <w:overflowPunct/>
              <w:topLinePunct w:val="0"/>
              <w:bidi w:val="0"/>
            </w:pPr>
          </w:p>
        </w:tc>
        <w:tc>
          <w:tcPr>
            <w:tcW w:w="1117" w:type="pct"/>
            <w:vMerge w:val="continue"/>
            <w:shd w:val="clear" w:color="auto" w:fill="FFFFFF"/>
            <w:tcMar>
              <w:top w:w="0" w:type="dxa"/>
              <w:left w:w="105" w:type="dxa"/>
              <w:bottom w:w="0" w:type="dxa"/>
              <w:right w:w="105" w:type="dxa"/>
            </w:tcMar>
            <w:vAlign w:val="center"/>
          </w:tcPr>
          <w:p>
            <w:pPr>
              <w:keepNext w:val="0"/>
              <w:keepLines w:val="0"/>
              <w:pageBreakBefore w:val="0"/>
              <w:widowControl w:val="0"/>
              <w:wordWrap/>
              <w:overflowPunct/>
              <w:topLinePunct w:val="0"/>
              <w:bidi w:val="0"/>
            </w:pPr>
          </w:p>
        </w:tc>
        <w:tc>
          <w:tcPr>
            <w:tcW w:w="2348" w:type="pct"/>
            <w:shd w:val="clear" w:color="auto" w:fill="FFFFFF"/>
            <w:tcMar>
              <w:top w:w="0" w:type="dxa"/>
              <w:left w:w="105" w:type="dxa"/>
              <w:bottom w:w="0" w:type="dxa"/>
              <w:right w:w="105" w:type="dxa"/>
            </w:tcMar>
            <w:vAlign w:val="center"/>
          </w:tcPr>
          <w:p>
            <w:pPr>
              <w:keepNext w:val="0"/>
              <w:keepLines w:val="0"/>
              <w:pageBreakBefore w:val="0"/>
              <w:widowControl w:val="0"/>
              <w:wordWrap/>
              <w:overflowPunct/>
              <w:topLinePunct w:val="0"/>
              <w:bidi w:val="0"/>
            </w:pPr>
            <w:r>
              <w:rPr>
                <w:rFonts w:hint="eastAsia"/>
              </w:rPr>
              <w:t>安全生产法律法规</w:t>
            </w:r>
          </w:p>
        </w:tc>
        <w:tc>
          <w:tcPr>
            <w:tcW w:w="456" w:type="pct"/>
            <w:shd w:val="clear" w:color="auto" w:fill="FFFFFF"/>
            <w:tcMar>
              <w:top w:w="0" w:type="dxa"/>
              <w:left w:w="105" w:type="dxa"/>
              <w:bottom w:w="0" w:type="dxa"/>
              <w:right w:w="105" w:type="dxa"/>
            </w:tcMar>
            <w:vAlign w:val="center"/>
          </w:tcPr>
          <w:p>
            <w:pPr>
              <w:keepNext w:val="0"/>
              <w:keepLines w:val="0"/>
              <w:pageBreakBefore w:val="0"/>
              <w:widowControl w:val="0"/>
              <w:wordWrap/>
              <w:overflowPunct/>
              <w:topLinePunct w:val="0"/>
              <w:bidi w:val="0"/>
              <w:jc w:val="center"/>
            </w:pPr>
            <w:r>
              <w:rPr>
                <w:rFonts w:hint="eastAsia"/>
              </w:rPr>
              <w:t>3</w:t>
            </w:r>
          </w:p>
        </w:tc>
        <w:tc>
          <w:tcPr>
            <w:tcW w:w="456" w:type="pct"/>
            <w:vMerge w:val="continue"/>
            <w:shd w:val="clear" w:color="auto" w:fill="FFFFFF"/>
            <w:vAlign w:val="center"/>
          </w:tcPr>
          <w:p>
            <w:pPr>
              <w:keepNext w:val="0"/>
              <w:keepLines w:val="0"/>
              <w:pageBreakBefore w:val="0"/>
              <w:widowControl w:val="0"/>
              <w:wordWrap/>
              <w:overflowPunct/>
              <w:topLinePunct w:val="0"/>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23" w:type="pct"/>
            <w:vMerge w:val="continue"/>
            <w:shd w:val="clear" w:color="auto" w:fill="FFFFFF"/>
            <w:vAlign w:val="center"/>
          </w:tcPr>
          <w:p>
            <w:pPr>
              <w:keepNext w:val="0"/>
              <w:keepLines w:val="0"/>
              <w:pageBreakBefore w:val="0"/>
              <w:widowControl w:val="0"/>
              <w:wordWrap/>
              <w:overflowPunct/>
              <w:topLinePunct w:val="0"/>
              <w:bidi w:val="0"/>
            </w:pPr>
          </w:p>
        </w:tc>
        <w:tc>
          <w:tcPr>
            <w:tcW w:w="1117" w:type="pct"/>
            <w:vMerge w:val="continue"/>
            <w:shd w:val="clear" w:color="auto" w:fill="FFFFFF"/>
            <w:tcMar>
              <w:top w:w="0" w:type="dxa"/>
              <w:left w:w="105" w:type="dxa"/>
              <w:bottom w:w="0" w:type="dxa"/>
              <w:right w:w="105" w:type="dxa"/>
            </w:tcMar>
            <w:vAlign w:val="center"/>
          </w:tcPr>
          <w:p>
            <w:pPr>
              <w:keepNext w:val="0"/>
              <w:keepLines w:val="0"/>
              <w:pageBreakBefore w:val="0"/>
              <w:widowControl w:val="0"/>
              <w:wordWrap/>
              <w:overflowPunct/>
              <w:topLinePunct w:val="0"/>
              <w:bidi w:val="0"/>
            </w:pPr>
          </w:p>
        </w:tc>
        <w:tc>
          <w:tcPr>
            <w:tcW w:w="2348" w:type="pct"/>
            <w:shd w:val="clear" w:color="auto" w:fill="FFFFFF"/>
            <w:tcMar>
              <w:top w:w="0" w:type="dxa"/>
              <w:left w:w="105" w:type="dxa"/>
              <w:bottom w:w="0" w:type="dxa"/>
              <w:right w:w="105" w:type="dxa"/>
            </w:tcMar>
            <w:vAlign w:val="center"/>
          </w:tcPr>
          <w:p>
            <w:pPr>
              <w:keepNext w:val="0"/>
              <w:keepLines w:val="0"/>
              <w:pageBreakBefore w:val="0"/>
              <w:widowControl w:val="0"/>
              <w:wordWrap/>
              <w:overflowPunct/>
              <w:topLinePunct w:val="0"/>
              <w:bidi w:val="0"/>
            </w:pPr>
            <w:r>
              <w:rPr>
                <w:rFonts w:hint="eastAsia"/>
              </w:rPr>
              <w:t>安全责任意识</w:t>
            </w:r>
          </w:p>
        </w:tc>
        <w:tc>
          <w:tcPr>
            <w:tcW w:w="456" w:type="pct"/>
            <w:shd w:val="clear" w:color="auto" w:fill="FFFFFF"/>
            <w:tcMar>
              <w:top w:w="0" w:type="dxa"/>
              <w:left w:w="105" w:type="dxa"/>
              <w:bottom w:w="0" w:type="dxa"/>
              <w:right w:w="105" w:type="dxa"/>
            </w:tcMar>
            <w:vAlign w:val="center"/>
          </w:tcPr>
          <w:p>
            <w:pPr>
              <w:keepNext w:val="0"/>
              <w:keepLines w:val="0"/>
              <w:pageBreakBefore w:val="0"/>
              <w:widowControl w:val="0"/>
              <w:wordWrap/>
              <w:overflowPunct/>
              <w:topLinePunct w:val="0"/>
              <w:bidi w:val="0"/>
              <w:jc w:val="center"/>
            </w:pPr>
            <w:r>
              <w:rPr>
                <w:rFonts w:hint="eastAsia"/>
              </w:rPr>
              <w:t>3</w:t>
            </w:r>
          </w:p>
        </w:tc>
        <w:tc>
          <w:tcPr>
            <w:tcW w:w="456" w:type="pct"/>
            <w:vMerge w:val="continue"/>
            <w:shd w:val="clear" w:color="auto" w:fill="FFFFFF"/>
            <w:vAlign w:val="center"/>
          </w:tcPr>
          <w:p>
            <w:pPr>
              <w:keepNext w:val="0"/>
              <w:keepLines w:val="0"/>
              <w:pageBreakBefore w:val="0"/>
              <w:widowControl w:val="0"/>
              <w:wordWrap/>
              <w:overflowPunct/>
              <w:topLinePunct w:val="0"/>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23" w:type="pct"/>
            <w:vMerge w:val="continue"/>
            <w:shd w:val="clear" w:color="auto" w:fill="FFFFFF"/>
            <w:vAlign w:val="center"/>
          </w:tcPr>
          <w:p>
            <w:pPr>
              <w:keepNext w:val="0"/>
              <w:keepLines w:val="0"/>
              <w:pageBreakBefore w:val="0"/>
              <w:widowControl w:val="0"/>
              <w:wordWrap/>
              <w:overflowPunct/>
              <w:topLinePunct w:val="0"/>
              <w:bidi w:val="0"/>
            </w:pPr>
          </w:p>
        </w:tc>
        <w:tc>
          <w:tcPr>
            <w:tcW w:w="1117" w:type="pct"/>
            <w:vMerge w:val="restart"/>
            <w:shd w:val="clear" w:color="auto" w:fill="FFFFFF"/>
            <w:tcMar>
              <w:top w:w="0" w:type="dxa"/>
              <w:left w:w="105" w:type="dxa"/>
              <w:bottom w:w="0" w:type="dxa"/>
              <w:right w:w="105" w:type="dxa"/>
            </w:tcMar>
            <w:vAlign w:val="center"/>
          </w:tcPr>
          <w:p>
            <w:pPr>
              <w:keepNext w:val="0"/>
              <w:keepLines w:val="0"/>
              <w:pageBreakBefore w:val="0"/>
              <w:widowControl w:val="0"/>
              <w:wordWrap/>
              <w:overflowPunct/>
              <w:topLinePunct w:val="0"/>
              <w:bidi w:val="0"/>
            </w:pPr>
            <w:r>
              <w:rPr>
                <w:rFonts w:hint="eastAsia"/>
              </w:rPr>
              <w:t>安全生产管理</w:t>
            </w:r>
          </w:p>
        </w:tc>
        <w:tc>
          <w:tcPr>
            <w:tcW w:w="2348" w:type="pct"/>
            <w:shd w:val="clear" w:color="auto" w:fill="FFFFFF"/>
            <w:tcMar>
              <w:top w:w="0" w:type="dxa"/>
              <w:left w:w="105" w:type="dxa"/>
              <w:bottom w:w="0" w:type="dxa"/>
              <w:right w:w="105" w:type="dxa"/>
            </w:tcMar>
            <w:vAlign w:val="center"/>
          </w:tcPr>
          <w:p>
            <w:pPr>
              <w:keepNext w:val="0"/>
              <w:keepLines w:val="0"/>
              <w:pageBreakBefore w:val="0"/>
              <w:widowControl w:val="0"/>
              <w:wordWrap/>
              <w:overflowPunct/>
              <w:topLinePunct w:val="0"/>
              <w:bidi w:val="0"/>
            </w:pPr>
            <w:r>
              <w:rPr>
                <w:rFonts w:hint="eastAsia"/>
              </w:rPr>
              <w:t>安全生产管理基础知识</w:t>
            </w:r>
          </w:p>
        </w:tc>
        <w:tc>
          <w:tcPr>
            <w:tcW w:w="456" w:type="pct"/>
            <w:shd w:val="clear" w:color="auto" w:fill="FFFFFF"/>
            <w:tcMar>
              <w:top w:w="0" w:type="dxa"/>
              <w:left w:w="105" w:type="dxa"/>
              <w:bottom w:w="0" w:type="dxa"/>
              <w:right w:w="105" w:type="dxa"/>
            </w:tcMar>
            <w:vAlign w:val="center"/>
          </w:tcPr>
          <w:p>
            <w:pPr>
              <w:keepNext w:val="0"/>
              <w:keepLines w:val="0"/>
              <w:pageBreakBefore w:val="0"/>
              <w:widowControl w:val="0"/>
              <w:wordWrap/>
              <w:overflowPunct/>
              <w:topLinePunct w:val="0"/>
              <w:bidi w:val="0"/>
              <w:jc w:val="center"/>
            </w:pPr>
            <w:r>
              <w:rPr>
                <w:rFonts w:hint="eastAsia"/>
              </w:rPr>
              <w:t>1</w:t>
            </w:r>
          </w:p>
        </w:tc>
        <w:tc>
          <w:tcPr>
            <w:tcW w:w="456" w:type="pct"/>
            <w:vMerge w:val="continue"/>
            <w:shd w:val="clear" w:color="auto" w:fill="FFFFFF"/>
            <w:vAlign w:val="center"/>
          </w:tcPr>
          <w:p>
            <w:pPr>
              <w:keepNext w:val="0"/>
              <w:keepLines w:val="0"/>
              <w:pageBreakBefore w:val="0"/>
              <w:widowControl w:val="0"/>
              <w:wordWrap/>
              <w:overflowPunct/>
              <w:topLinePunct w:val="0"/>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23" w:type="pct"/>
            <w:vMerge w:val="continue"/>
            <w:shd w:val="clear" w:color="auto" w:fill="FFFFFF"/>
            <w:vAlign w:val="center"/>
          </w:tcPr>
          <w:p>
            <w:pPr>
              <w:keepNext w:val="0"/>
              <w:keepLines w:val="0"/>
              <w:pageBreakBefore w:val="0"/>
              <w:widowControl w:val="0"/>
              <w:wordWrap/>
              <w:overflowPunct/>
              <w:topLinePunct w:val="0"/>
              <w:bidi w:val="0"/>
            </w:pPr>
          </w:p>
        </w:tc>
        <w:tc>
          <w:tcPr>
            <w:tcW w:w="1117" w:type="pct"/>
            <w:vMerge w:val="continue"/>
            <w:shd w:val="clear" w:color="auto" w:fill="FFFFFF"/>
            <w:vAlign w:val="center"/>
          </w:tcPr>
          <w:p>
            <w:pPr>
              <w:keepNext w:val="0"/>
              <w:keepLines w:val="0"/>
              <w:pageBreakBefore w:val="0"/>
              <w:widowControl w:val="0"/>
              <w:wordWrap/>
              <w:overflowPunct/>
              <w:topLinePunct w:val="0"/>
              <w:bidi w:val="0"/>
            </w:pPr>
          </w:p>
        </w:tc>
        <w:tc>
          <w:tcPr>
            <w:tcW w:w="2348" w:type="pct"/>
            <w:shd w:val="clear" w:color="auto" w:fill="FFFFFF"/>
            <w:tcMar>
              <w:top w:w="0" w:type="dxa"/>
              <w:left w:w="105" w:type="dxa"/>
              <w:bottom w:w="0" w:type="dxa"/>
              <w:right w:w="105" w:type="dxa"/>
            </w:tcMar>
            <w:vAlign w:val="center"/>
          </w:tcPr>
          <w:p>
            <w:pPr>
              <w:keepNext w:val="0"/>
              <w:keepLines w:val="0"/>
              <w:pageBreakBefore w:val="0"/>
              <w:widowControl w:val="0"/>
              <w:wordWrap/>
              <w:overflowPunct/>
              <w:topLinePunct w:val="0"/>
              <w:bidi w:val="0"/>
            </w:pPr>
            <w:r>
              <w:rPr>
                <w:rFonts w:hint="eastAsia"/>
              </w:rPr>
              <w:t>安全生产管理组织与规章制度</w:t>
            </w:r>
          </w:p>
        </w:tc>
        <w:tc>
          <w:tcPr>
            <w:tcW w:w="456" w:type="pct"/>
            <w:shd w:val="clear" w:color="auto" w:fill="FFFFFF"/>
            <w:tcMar>
              <w:top w:w="0" w:type="dxa"/>
              <w:left w:w="105" w:type="dxa"/>
              <w:bottom w:w="0" w:type="dxa"/>
              <w:right w:w="105" w:type="dxa"/>
            </w:tcMar>
            <w:vAlign w:val="center"/>
          </w:tcPr>
          <w:p>
            <w:pPr>
              <w:keepNext w:val="0"/>
              <w:keepLines w:val="0"/>
              <w:pageBreakBefore w:val="0"/>
              <w:widowControl w:val="0"/>
              <w:wordWrap/>
              <w:overflowPunct/>
              <w:topLinePunct w:val="0"/>
              <w:bidi w:val="0"/>
              <w:jc w:val="center"/>
            </w:pPr>
            <w:r>
              <w:rPr>
                <w:rFonts w:hint="eastAsia"/>
              </w:rPr>
              <w:t>3</w:t>
            </w:r>
          </w:p>
        </w:tc>
        <w:tc>
          <w:tcPr>
            <w:tcW w:w="456" w:type="pct"/>
            <w:vMerge w:val="continue"/>
            <w:shd w:val="clear" w:color="auto" w:fill="FFFFFF"/>
            <w:vAlign w:val="center"/>
          </w:tcPr>
          <w:p>
            <w:pPr>
              <w:keepNext w:val="0"/>
              <w:keepLines w:val="0"/>
              <w:pageBreakBefore w:val="0"/>
              <w:widowControl w:val="0"/>
              <w:wordWrap/>
              <w:overflowPunct/>
              <w:topLinePunct w:val="0"/>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23" w:type="pct"/>
            <w:vMerge w:val="continue"/>
            <w:shd w:val="clear" w:color="auto" w:fill="FFFFFF"/>
            <w:vAlign w:val="center"/>
          </w:tcPr>
          <w:p>
            <w:pPr>
              <w:keepNext w:val="0"/>
              <w:keepLines w:val="0"/>
              <w:pageBreakBefore w:val="0"/>
              <w:widowControl w:val="0"/>
              <w:wordWrap/>
              <w:overflowPunct/>
              <w:topLinePunct w:val="0"/>
              <w:bidi w:val="0"/>
            </w:pPr>
          </w:p>
        </w:tc>
        <w:tc>
          <w:tcPr>
            <w:tcW w:w="1117" w:type="pct"/>
            <w:vMerge w:val="continue"/>
            <w:shd w:val="clear" w:color="auto" w:fill="FFFFFF"/>
            <w:vAlign w:val="center"/>
          </w:tcPr>
          <w:p>
            <w:pPr>
              <w:keepNext w:val="0"/>
              <w:keepLines w:val="0"/>
              <w:pageBreakBefore w:val="0"/>
              <w:widowControl w:val="0"/>
              <w:wordWrap/>
              <w:overflowPunct/>
              <w:topLinePunct w:val="0"/>
              <w:bidi w:val="0"/>
            </w:pPr>
          </w:p>
        </w:tc>
        <w:tc>
          <w:tcPr>
            <w:tcW w:w="2348" w:type="pct"/>
            <w:shd w:val="clear" w:color="auto" w:fill="FFFFFF"/>
            <w:tcMar>
              <w:top w:w="0" w:type="dxa"/>
              <w:left w:w="105" w:type="dxa"/>
              <w:bottom w:w="0" w:type="dxa"/>
              <w:right w:w="105" w:type="dxa"/>
            </w:tcMar>
            <w:vAlign w:val="center"/>
          </w:tcPr>
          <w:p>
            <w:pPr>
              <w:keepNext w:val="0"/>
              <w:keepLines w:val="0"/>
              <w:pageBreakBefore w:val="0"/>
              <w:widowControl w:val="0"/>
              <w:wordWrap/>
              <w:overflowPunct/>
              <w:topLinePunct w:val="0"/>
              <w:bidi w:val="0"/>
            </w:pPr>
            <w:r>
              <w:rPr>
                <w:rFonts w:hint="eastAsia"/>
              </w:rPr>
              <w:t>安全生产资源保障</w:t>
            </w:r>
          </w:p>
        </w:tc>
        <w:tc>
          <w:tcPr>
            <w:tcW w:w="456" w:type="pct"/>
            <w:shd w:val="clear" w:color="auto" w:fill="FFFFFF"/>
            <w:tcMar>
              <w:top w:w="0" w:type="dxa"/>
              <w:left w:w="105" w:type="dxa"/>
              <w:bottom w:w="0" w:type="dxa"/>
              <w:right w:w="105" w:type="dxa"/>
            </w:tcMar>
            <w:vAlign w:val="center"/>
          </w:tcPr>
          <w:p>
            <w:pPr>
              <w:keepNext w:val="0"/>
              <w:keepLines w:val="0"/>
              <w:pageBreakBefore w:val="0"/>
              <w:widowControl w:val="0"/>
              <w:wordWrap/>
              <w:overflowPunct/>
              <w:topLinePunct w:val="0"/>
              <w:bidi w:val="0"/>
              <w:jc w:val="center"/>
            </w:pPr>
            <w:r>
              <w:rPr>
                <w:rFonts w:hint="eastAsia"/>
              </w:rPr>
              <w:t>2</w:t>
            </w:r>
          </w:p>
        </w:tc>
        <w:tc>
          <w:tcPr>
            <w:tcW w:w="456" w:type="pct"/>
            <w:vMerge w:val="continue"/>
            <w:shd w:val="clear" w:color="auto" w:fill="FFFFFF"/>
            <w:vAlign w:val="center"/>
          </w:tcPr>
          <w:p>
            <w:pPr>
              <w:keepNext w:val="0"/>
              <w:keepLines w:val="0"/>
              <w:pageBreakBefore w:val="0"/>
              <w:widowControl w:val="0"/>
              <w:wordWrap/>
              <w:overflowPunct/>
              <w:topLinePunct w:val="0"/>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 w:hRule="atLeast"/>
        </w:trPr>
        <w:tc>
          <w:tcPr>
            <w:tcW w:w="623" w:type="pct"/>
            <w:vMerge w:val="continue"/>
            <w:shd w:val="clear" w:color="auto" w:fill="FFFFFF"/>
            <w:vAlign w:val="center"/>
          </w:tcPr>
          <w:p>
            <w:pPr>
              <w:keepNext w:val="0"/>
              <w:keepLines w:val="0"/>
              <w:pageBreakBefore w:val="0"/>
              <w:widowControl w:val="0"/>
              <w:wordWrap/>
              <w:overflowPunct/>
              <w:topLinePunct w:val="0"/>
              <w:bidi w:val="0"/>
            </w:pPr>
          </w:p>
        </w:tc>
        <w:tc>
          <w:tcPr>
            <w:tcW w:w="1117" w:type="pct"/>
            <w:vMerge w:val="continue"/>
            <w:shd w:val="clear" w:color="auto" w:fill="FFFFFF"/>
            <w:vAlign w:val="center"/>
          </w:tcPr>
          <w:p>
            <w:pPr>
              <w:keepNext w:val="0"/>
              <w:keepLines w:val="0"/>
              <w:pageBreakBefore w:val="0"/>
              <w:widowControl w:val="0"/>
              <w:wordWrap/>
              <w:overflowPunct/>
              <w:topLinePunct w:val="0"/>
              <w:bidi w:val="0"/>
            </w:pPr>
          </w:p>
        </w:tc>
        <w:tc>
          <w:tcPr>
            <w:tcW w:w="2348" w:type="pct"/>
            <w:shd w:val="clear" w:color="auto" w:fill="FFFFFF"/>
            <w:tcMar>
              <w:top w:w="0" w:type="dxa"/>
              <w:left w:w="105" w:type="dxa"/>
              <w:bottom w:w="0" w:type="dxa"/>
              <w:right w:w="105" w:type="dxa"/>
            </w:tcMar>
            <w:vAlign w:val="center"/>
          </w:tcPr>
          <w:p>
            <w:pPr>
              <w:keepNext w:val="0"/>
              <w:keepLines w:val="0"/>
              <w:pageBreakBefore w:val="0"/>
              <w:widowControl w:val="0"/>
              <w:wordWrap/>
              <w:overflowPunct/>
              <w:topLinePunct w:val="0"/>
              <w:bidi w:val="0"/>
            </w:pPr>
            <w:r>
              <w:rPr>
                <w:rFonts w:hint="eastAsia"/>
              </w:rPr>
              <w:t>安全生产能力建设</w:t>
            </w:r>
          </w:p>
        </w:tc>
        <w:tc>
          <w:tcPr>
            <w:tcW w:w="456" w:type="pct"/>
            <w:shd w:val="clear" w:color="auto" w:fill="FFFFFF"/>
            <w:tcMar>
              <w:top w:w="0" w:type="dxa"/>
              <w:left w:w="105" w:type="dxa"/>
              <w:bottom w:w="0" w:type="dxa"/>
              <w:right w:w="105" w:type="dxa"/>
            </w:tcMar>
            <w:vAlign w:val="center"/>
          </w:tcPr>
          <w:p>
            <w:pPr>
              <w:keepNext w:val="0"/>
              <w:keepLines w:val="0"/>
              <w:pageBreakBefore w:val="0"/>
              <w:widowControl w:val="0"/>
              <w:wordWrap/>
              <w:overflowPunct/>
              <w:topLinePunct w:val="0"/>
              <w:bidi w:val="0"/>
              <w:jc w:val="center"/>
            </w:pPr>
            <w:r>
              <w:rPr>
                <w:rFonts w:hint="eastAsia"/>
              </w:rPr>
              <w:t>2</w:t>
            </w:r>
          </w:p>
        </w:tc>
        <w:tc>
          <w:tcPr>
            <w:tcW w:w="456" w:type="pct"/>
            <w:vMerge w:val="continue"/>
            <w:shd w:val="clear" w:color="auto" w:fill="FFFFFF"/>
            <w:vAlign w:val="center"/>
          </w:tcPr>
          <w:p>
            <w:pPr>
              <w:keepNext w:val="0"/>
              <w:keepLines w:val="0"/>
              <w:pageBreakBefore w:val="0"/>
              <w:widowControl w:val="0"/>
              <w:wordWrap/>
              <w:overflowPunct/>
              <w:topLinePunct w:val="0"/>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23" w:type="pct"/>
            <w:vMerge w:val="continue"/>
            <w:shd w:val="clear" w:color="auto" w:fill="FFFFFF"/>
            <w:vAlign w:val="center"/>
          </w:tcPr>
          <w:p>
            <w:pPr>
              <w:keepNext w:val="0"/>
              <w:keepLines w:val="0"/>
              <w:pageBreakBefore w:val="0"/>
              <w:widowControl w:val="0"/>
              <w:wordWrap/>
              <w:overflowPunct/>
              <w:topLinePunct w:val="0"/>
              <w:bidi w:val="0"/>
            </w:pPr>
          </w:p>
        </w:tc>
        <w:tc>
          <w:tcPr>
            <w:tcW w:w="1117" w:type="pct"/>
            <w:vMerge w:val="continue"/>
            <w:shd w:val="clear" w:color="auto" w:fill="FFFFFF"/>
            <w:vAlign w:val="center"/>
          </w:tcPr>
          <w:p>
            <w:pPr>
              <w:keepNext w:val="0"/>
              <w:keepLines w:val="0"/>
              <w:pageBreakBefore w:val="0"/>
              <w:widowControl w:val="0"/>
              <w:wordWrap/>
              <w:overflowPunct/>
              <w:topLinePunct w:val="0"/>
              <w:bidi w:val="0"/>
            </w:pPr>
          </w:p>
        </w:tc>
        <w:tc>
          <w:tcPr>
            <w:tcW w:w="2348" w:type="pct"/>
            <w:shd w:val="clear" w:color="auto" w:fill="FFFFFF"/>
            <w:tcMar>
              <w:top w:w="0" w:type="dxa"/>
              <w:left w:w="105" w:type="dxa"/>
              <w:bottom w:w="0" w:type="dxa"/>
              <w:right w:w="105" w:type="dxa"/>
            </w:tcMar>
            <w:vAlign w:val="center"/>
          </w:tcPr>
          <w:p>
            <w:pPr>
              <w:keepNext w:val="0"/>
              <w:keepLines w:val="0"/>
              <w:pageBreakBefore w:val="0"/>
              <w:widowControl w:val="0"/>
              <w:wordWrap/>
              <w:overflowPunct/>
              <w:topLinePunct w:val="0"/>
              <w:bidi w:val="0"/>
            </w:pPr>
            <w:r>
              <w:rPr>
                <w:rFonts w:hint="eastAsia"/>
              </w:rPr>
              <w:t>风险分级管控与隐患排查治理</w:t>
            </w:r>
          </w:p>
        </w:tc>
        <w:tc>
          <w:tcPr>
            <w:tcW w:w="456" w:type="pct"/>
            <w:shd w:val="clear" w:color="auto" w:fill="FFFFFF"/>
            <w:tcMar>
              <w:top w:w="0" w:type="dxa"/>
              <w:left w:w="105" w:type="dxa"/>
              <w:bottom w:w="0" w:type="dxa"/>
              <w:right w:w="105" w:type="dxa"/>
            </w:tcMar>
            <w:vAlign w:val="center"/>
          </w:tcPr>
          <w:p>
            <w:pPr>
              <w:keepNext w:val="0"/>
              <w:keepLines w:val="0"/>
              <w:pageBreakBefore w:val="0"/>
              <w:widowControl w:val="0"/>
              <w:wordWrap/>
              <w:overflowPunct/>
              <w:topLinePunct w:val="0"/>
              <w:bidi w:val="0"/>
              <w:jc w:val="center"/>
            </w:pPr>
            <w:r>
              <w:rPr>
                <w:rFonts w:hint="eastAsia"/>
              </w:rPr>
              <w:t>2</w:t>
            </w:r>
          </w:p>
        </w:tc>
        <w:tc>
          <w:tcPr>
            <w:tcW w:w="456" w:type="pct"/>
            <w:vMerge w:val="continue"/>
            <w:shd w:val="clear" w:color="auto" w:fill="FFFFFF"/>
            <w:vAlign w:val="center"/>
          </w:tcPr>
          <w:p>
            <w:pPr>
              <w:keepNext w:val="0"/>
              <w:keepLines w:val="0"/>
              <w:pageBreakBefore w:val="0"/>
              <w:widowControl w:val="0"/>
              <w:wordWrap/>
              <w:overflowPunct/>
              <w:topLinePunct w:val="0"/>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23" w:type="pct"/>
            <w:vMerge w:val="continue"/>
            <w:shd w:val="clear" w:color="auto" w:fill="FFFFFF"/>
            <w:vAlign w:val="center"/>
          </w:tcPr>
          <w:p>
            <w:pPr>
              <w:keepNext w:val="0"/>
              <w:keepLines w:val="0"/>
              <w:pageBreakBefore w:val="0"/>
              <w:widowControl w:val="0"/>
              <w:wordWrap/>
              <w:overflowPunct/>
              <w:topLinePunct w:val="0"/>
              <w:bidi w:val="0"/>
            </w:pPr>
          </w:p>
        </w:tc>
        <w:tc>
          <w:tcPr>
            <w:tcW w:w="1117" w:type="pct"/>
            <w:vMerge w:val="continue"/>
            <w:shd w:val="clear" w:color="auto" w:fill="FFFFFF"/>
            <w:vAlign w:val="center"/>
          </w:tcPr>
          <w:p>
            <w:pPr>
              <w:keepNext w:val="0"/>
              <w:keepLines w:val="0"/>
              <w:pageBreakBefore w:val="0"/>
              <w:widowControl w:val="0"/>
              <w:wordWrap/>
              <w:overflowPunct/>
              <w:topLinePunct w:val="0"/>
              <w:bidi w:val="0"/>
            </w:pPr>
          </w:p>
        </w:tc>
        <w:tc>
          <w:tcPr>
            <w:tcW w:w="2348" w:type="pct"/>
            <w:shd w:val="clear" w:color="auto" w:fill="FFFFFF"/>
            <w:tcMar>
              <w:top w:w="0" w:type="dxa"/>
              <w:left w:w="105" w:type="dxa"/>
              <w:bottom w:w="0" w:type="dxa"/>
              <w:right w:w="105" w:type="dxa"/>
            </w:tcMar>
            <w:vAlign w:val="center"/>
          </w:tcPr>
          <w:p>
            <w:pPr>
              <w:keepNext w:val="0"/>
              <w:keepLines w:val="0"/>
              <w:pageBreakBefore w:val="0"/>
              <w:widowControl w:val="0"/>
              <w:wordWrap/>
              <w:overflowPunct/>
              <w:topLinePunct w:val="0"/>
              <w:bidi w:val="0"/>
            </w:pPr>
            <w:r>
              <w:rPr>
                <w:rFonts w:hint="eastAsia"/>
              </w:rPr>
              <w:t>设备设施与作业安全管理</w:t>
            </w:r>
          </w:p>
        </w:tc>
        <w:tc>
          <w:tcPr>
            <w:tcW w:w="456" w:type="pct"/>
            <w:shd w:val="clear" w:color="auto" w:fill="FFFFFF"/>
            <w:tcMar>
              <w:top w:w="0" w:type="dxa"/>
              <w:left w:w="105" w:type="dxa"/>
              <w:bottom w:w="0" w:type="dxa"/>
              <w:right w:w="105" w:type="dxa"/>
            </w:tcMar>
            <w:vAlign w:val="center"/>
          </w:tcPr>
          <w:p>
            <w:pPr>
              <w:keepNext w:val="0"/>
              <w:keepLines w:val="0"/>
              <w:pageBreakBefore w:val="0"/>
              <w:widowControl w:val="0"/>
              <w:wordWrap/>
              <w:overflowPunct/>
              <w:topLinePunct w:val="0"/>
              <w:bidi w:val="0"/>
              <w:jc w:val="center"/>
            </w:pPr>
            <w:r>
              <w:rPr>
                <w:rFonts w:hint="eastAsia"/>
              </w:rPr>
              <w:t>4</w:t>
            </w:r>
          </w:p>
        </w:tc>
        <w:tc>
          <w:tcPr>
            <w:tcW w:w="456" w:type="pct"/>
            <w:vMerge w:val="continue"/>
            <w:shd w:val="clear" w:color="auto" w:fill="FFFFFF"/>
            <w:vAlign w:val="center"/>
          </w:tcPr>
          <w:p>
            <w:pPr>
              <w:keepNext w:val="0"/>
              <w:keepLines w:val="0"/>
              <w:pageBreakBefore w:val="0"/>
              <w:widowControl w:val="0"/>
              <w:wordWrap/>
              <w:overflowPunct/>
              <w:topLinePunct w:val="0"/>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23" w:type="pct"/>
            <w:vMerge w:val="continue"/>
            <w:shd w:val="clear" w:color="auto" w:fill="FFFFFF"/>
            <w:vAlign w:val="center"/>
          </w:tcPr>
          <w:p>
            <w:pPr>
              <w:keepNext w:val="0"/>
              <w:keepLines w:val="0"/>
              <w:pageBreakBefore w:val="0"/>
              <w:widowControl w:val="0"/>
              <w:wordWrap/>
              <w:overflowPunct/>
              <w:topLinePunct w:val="0"/>
              <w:bidi w:val="0"/>
            </w:pPr>
          </w:p>
        </w:tc>
        <w:tc>
          <w:tcPr>
            <w:tcW w:w="1117" w:type="pct"/>
            <w:vMerge w:val="continue"/>
            <w:shd w:val="clear" w:color="auto" w:fill="FFFFFF"/>
            <w:vAlign w:val="center"/>
          </w:tcPr>
          <w:p>
            <w:pPr>
              <w:keepNext w:val="0"/>
              <w:keepLines w:val="0"/>
              <w:pageBreakBefore w:val="0"/>
              <w:widowControl w:val="0"/>
              <w:wordWrap/>
              <w:overflowPunct/>
              <w:topLinePunct w:val="0"/>
              <w:bidi w:val="0"/>
            </w:pPr>
          </w:p>
        </w:tc>
        <w:tc>
          <w:tcPr>
            <w:tcW w:w="2348" w:type="pct"/>
            <w:shd w:val="clear" w:color="auto" w:fill="FFFFFF"/>
            <w:tcMar>
              <w:top w:w="0" w:type="dxa"/>
              <w:left w:w="105" w:type="dxa"/>
              <w:bottom w:w="0" w:type="dxa"/>
              <w:right w:w="105" w:type="dxa"/>
            </w:tcMar>
            <w:vAlign w:val="center"/>
          </w:tcPr>
          <w:p>
            <w:pPr>
              <w:keepNext w:val="0"/>
              <w:keepLines w:val="0"/>
              <w:pageBreakBefore w:val="0"/>
              <w:widowControl w:val="0"/>
              <w:wordWrap/>
              <w:overflowPunct/>
              <w:topLinePunct w:val="0"/>
              <w:bidi w:val="0"/>
            </w:pPr>
            <w:r>
              <w:rPr>
                <w:rFonts w:hint="eastAsia"/>
              </w:rPr>
              <w:t>应急管理与灾害事故处理</w:t>
            </w:r>
          </w:p>
        </w:tc>
        <w:tc>
          <w:tcPr>
            <w:tcW w:w="456" w:type="pct"/>
            <w:shd w:val="clear" w:color="auto" w:fill="FFFFFF"/>
            <w:tcMar>
              <w:top w:w="0" w:type="dxa"/>
              <w:left w:w="105" w:type="dxa"/>
              <w:bottom w:w="0" w:type="dxa"/>
              <w:right w:w="105" w:type="dxa"/>
            </w:tcMar>
            <w:vAlign w:val="center"/>
          </w:tcPr>
          <w:p>
            <w:pPr>
              <w:keepNext w:val="0"/>
              <w:keepLines w:val="0"/>
              <w:pageBreakBefore w:val="0"/>
              <w:widowControl w:val="0"/>
              <w:wordWrap/>
              <w:overflowPunct/>
              <w:topLinePunct w:val="0"/>
              <w:bidi w:val="0"/>
              <w:jc w:val="center"/>
            </w:pPr>
            <w:r>
              <w:rPr>
                <w:rFonts w:hint="eastAsia"/>
              </w:rPr>
              <w:t>3</w:t>
            </w:r>
          </w:p>
        </w:tc>
        <w:tc>
          <w:tcPr>
            <w:tcW w:w="456" w:type="pct"/>
            <w:vMerge w:val="continue"/>
            <w:shd w:val="clear" w:color="auto" w:fill="FFFFFF"/>
            <w:vAlign w:val="center"/>
          </w:tcPr>
          <w:p>
            <w:pPr>
              <w:keepNext w:val="0"/>
              <w:keepLines w:val="0"/>
              <w:pageBreakBefore w:val="0"/>
              <w:widowControl w:val="0"/>
              <w:wordWrap/>
              <w:overflowPunct/>
              <w:topLinePunct w:val="0"/>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23" w:type="pct"/>
            <w:vMerge w:val="continue"/>
            <w:shd w:val="clear" w:color="auto" w:fill="FFFFFF"/>
            <w:vAlign w:val="center"/>
          </w:tcPr>
          <w:p>
            <w:pPr>
              <w:keepNext w:val="0"/>
              <w:keepLines w:val="0"/>
              <w:pageBreakBefore w:val="0"/>
              <w:widowControl w:val="0"/>
              <w:wordWrap/>
              <w:overflowPunct/>
              <w:topLinePunct w:val="0"/>
              <w:bidi w:val="0"/>
            </w:pPr>
          </w:p>
        </w:tc>
        <w:tc>
          <w:tcPr>
            <w:tcW w:w="1117" w:type="pct"/>
            <w:vMerge w:val="continue"/>
            <w:shd w:val="clear" w:color="auto" w:fill="FFFFFF"/>
            <w:vAlign w:val="center"/>
          </w:tcPr>
          <w:p>
            <w:pPr>
              <w:keepNext w:val="0"/>
              <w:keepLines w:val="0"/>
              <w:pageBreakBefore w:val="0"/>
              <w:widowControl w:val="0"/>
              <w:wordWrap/>
              <w:overflowPunct/>
              <w:topLinePunct w:val="0"/>
              <w:bidi w:val="0"/>
            </w:pPr>
          </w:p>
        </w:tc>
        <w:tc>
          <w:tcPr>
            <w:tcW w:w="2348" w:type="pct"/>
            <w:shd w:val="clear" w:color="auto" w:fill="FFFFFF"/>
            <w:tcMar>
              <w:top w:w="0" w:type="dxa"/>
              <w:left w:w="105" w:type="dxa"/>
              <w:bottom w:w="0" w:type="dxa"/>
              <w:right w:w="105" w:type="dxa"/>
            </w:tcMar>
            <w:vAlign w:val="center"/>
          </w:tcPr>
          <w:p>
            <w:pPr>
              <w:keepNext w:val="0"/>
              <w:keepLines w:val="0"/>
              <w:pageBreakBefore w:val="0"/>
              <w:widowControl w:val="0"/>
              <w:wordWrap/>
              <w:overflowPunct/>
              <w:topLinePunct w:val="0"/>
              <w:bidi w:val="0"/>
            </w:pPr>
            <w:r>
              <w:rPr>
                <w:rFonts w:hint="eastAsia"/>
              </w:rPr>
              <w:t>国内外先进安全生产管理经验</w:t>
            </w:r>
          </w:p>
        </w:tc>
        <w:tc>
          <w:tcPr>
            <w:tcW w:w="456" w:type="pct"/>
            <w:shd w:val="clear" w:color="auto" w:fill="FFFFFF"/>
            <w:tcMar>
              <w:top w:w="0" w:type="dxa"/>
              <w:left w:w="105" w:type="dxa"/>
              <w:bottom w:w="0" w:type="dxa"/>
              <w:right w:w="105" w:type="dxa"/>
            </w:tcMar>
            <w:vAlign w:val="center"/>
          </w:tcPr>
          <w:p>
            <w:pPr>
              <w:keepNext w:val="0"/>
              <w:keepLines w:val="0"/>
              <w:pageBreakBefore w:val="0"/>
              <w:widowControl w:val="0"/>
              <w:wordWrap/>
              <w:overflowPunct/>
              <w:topLinePunct w:val="0"/>
              <w:bidi w:val="0"/>
              <w:jc w:val="center"/>
            </w:pPr>
            <w:r>
              <w:rPr>
                <w:rFonts w:hint="eastAsia"/>
              </w:rPr>
              <w:t>1</w:t>
            </w:r>
          </w:p>
        </w:tc>
        <w:tc>
          <w:tcPr>
            <w:tcW w:w="456" w:type="pct"/>
            <w:vMerge w:val="continue"/>
            <w:shd w:val="clear" w:color="auto" w:fill="FFFFFF"/>
            <w:vAlign w:val="center"/>
          </w:tcPr>
          <w:p>
            <w:pPr>
              <w:keepNext w:val="0"/>
              <w:keepLines w:val="0"/>
              <w:pageBreakBefore w:val="0"/>
              <w:widowControl w:val="0"/>
              <w:wordWrap/>
              <w:overflowPunct/>
              <w:topLinePunct w:val="0"/>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23" w:type="pct"/>
            <w:vMerge w:val="continue"/>
            <w:shd w:val="clear" w:color="auto" w:fill="FFFFFF"/>
            <w:vAlign w:val="center"/>
          </w:tcPr>
          <w:p>
            <w:pPr>
              <w:keepNext w:val="0"/>
              <w:keepLines w:val="0"/>
              <w:pageBreakBefore w:val="0"/>
              <w:widowControl w:val="0"/>
              <w:wordWrap/>
              <w:overflowPunct/>
              <w:topLinePunct w:val="0"/>
              <w:bidi w:val="0"/>
            </w:pPr>
          </w:p>
        </w:tc>
        <w:tc>
          <w:tcPr>
            <w:tcW w:w="1117" w:type="pct"/>
            <w:vMerge w:val="continue"/>
            <w:shd w:val="clear" w:color="auto" w:fill="FFFFFF"/>
            <w:vAlign w:val="center"/>
          </w:tcPr>
          <w:p>
            <w:pPr>
              <w:keepNext w:val="0"/>
              <w:keepLines w:val="0"/>
              <w:pageBreakBefore w:val="0"/>
              <w:widowControl w:val="0"/>
              <w:wordWrap/>
              <w:overflowPunct/>
              <w:topLinePunct w:val="0"/>
              <w:bidi w:val="0"/>
            </w:pPr>
          </w:p>
        </w:tc>
        <w:tc>
          <w:tcPr>
            <w:tcW w:w="2348" w:type="pct"/>
            <w:shd w:val="clear" w:color="auto" w:fill="FFFFFF"/>
            <w:tcMar>
              <w:top w:w="0" w:type="dxa"/>
              <w:left w:w="105" w:type="dxa"/>
              <w:bottom w:w="0" w:type="dxa"/>
              <w:right w:w="105" w:type="dxa"/>
            </w:tcMar>
            <w:vAlign w:val="center"/>
          </w:tcPr>
          <w:p>
            <w:pPr>
              <w:keepNext w:val="0"/>
              <w:keepLines w:val="0"/>
              <w:pageBreakBefore w:val="0"/>
              <w:widowControl w:val="0"/>
              <w:wordWrap/>
              <w:overflowPunct/>
              <w:topLinePunct w:val="0"/>
              <w:bidi w:val="0"/>
            </w:pPr>
            <w:r>
              <w:rPr>
                <w:rFonts w:hint="eastAsia"/>
                <w:lang w:eastAsia="zh-CN"/>
              </w:rPr>
              <w:t>典型生产安全事故</w:t>
            </w:r>
            <w:r>
              <w:rPr>
                <w:rFonts w:hint="eastAsia"/>
              </w:rPr>
              <w:t>和应急救援案例分析</w:t>
            </w:r>
          </w:p>
        </w:tc>
        <w:tc>
          <w:tcPr>
            <w:tcW w:w="456" w:type="pct"/>
            <w:shd w:val="clear" w:color="auto" w:fill="FFFFFF"/>
            <w:tcMar>
              <w:top w:w="0" w:type="dxa"/>
              <w:left w:w="105" w:type="dxa"/>
              <w:bottom w:w="0" w:type="dxa"/>
              <w:right w:w="105" w:type="dxa"/>
            </w:tcMar>
            <w:vAlign w:val="center"/>
          </w:tcPr>
          <w:p>
            <w:pPr>
              <w:keepNext w:val="0"/>
              <w:keepLines w:val="0"/>
              <w:pageBreakBefore w:val="0"/>
              <w:widowControl w:val="0"/>
              <w:wordWrap/>
              <w:overflowPunct/>
              <w:topLinePunct w:val="0"/>
              <w:bidi w:val="0"/>
              <w:jc w:val="center"/>
            </w:pPr>
            <w:r>
              <w:rPr>
                <w:rFonts w:hint="eastAsia"/>
              </w:rPr>
              <w:t>2</w:t>
            </w:r>
          </w:p>
        </w:tc>
        <w:tc>
          <w:tcPr>
            <w:tcW w:w="456" w:type="pct"/>
            <w:vMerge w:val="continue"/>
            <w:shd w:val="clear" w:color="auto" w:fill="FFFFFF"/>
            <w:vAlign w:val="center"/>
          </w:tcPr>
          <w:p>
            <w:pPr>
              <w:keepNext w:val="0"/>
              <w:keepLines w:val="0"/>
              <w:pageBreakBefore w:val="0"/>
              <w:widowControl w:val="0"/>
              <w:wordWrap/>
              <w:overflowPunct/>
              <w:topLinePunct w:val="0"/>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23" w:type="pct"/>
            <w:vMerge w:val="continue"/>
            <w:shd w:val="clear" w:color="auto" w:fill="FFFFFF"/>
            <w:vAlign w:val="center"/>
          </w:tcPr>
          <w:p>
            <w:pPr>
              <w:keepNext w:val="0"/>
              <w:keepLines w:val="0"/>
              <w:pageBreakBefore w:val="0"/>
              <w:widowControl w:val="0"/>
              <w:wordWrap/>
              <w:overflowPunct/>
              <w:topLinePunct w:val="0"/>
              <w:bidi w:val="0"/>
            </w:pPr>
          </w:p>
        </w:tc>
        <w:tc>
          <w:tcPr>
            <w:tcW w:w="1117" w:type="pct"/>
            <w:vMerge w:val="restart"/>
            <w:shd w:val="clear" w:color="auto" w:fill="FFFFFF"/>
            <w:tcMar>
              <w:top w:w="0" w:type="dxa"/>
              <w:left w:w="105" w:type="dxa"/>
              <w:bottom w:w="0" w:type="dxa"/>
              <w:right w:w="105" w:type="dxa"/>
            </w:tcMar>
            <w:vAlign w:val="center"/>
          </w:tcPr>
          <w:p>
            <w:pPr>
              <w:keepNext w:val="0"/>
              <w:keepLines w:val="0"/>
              <w:pageBreakBefore w:val="0"/>
              <w:widowControl w:val="0"/>
              <w:wordWrap/>
              <w:overflowPunct/>
              <w:topLinePunct w:val="0"/>
              <w:bidi w:val="0"/>
            </w:pPr>
            <w:r>
              <w:rPr>
                <w:rFonts w:hint="eastAsia"/>
              </w:rPr>
              <w:t>安全生产技术</w:t>
            </w:r>
          </w:p>
        </w:tc>
        <w:tc>
          <w:tcPr>
            <w:tcW w:w="2348" w:type="pct"/>
            <w:shd w:val="clear" w:color="auto" w:fill="FFFFFF"/>
            <w:tcMar>
              <w:top w:w="0" w:type="dxa"/>
              <w:left w:w="105" w:type="dxa"/>
              <w:bottom w:w="0" w:type="dxa"/>
              <w:right w:w="105" w:type="dxa"/>
            </w:tcMar>
            <w:vAlign w:val="center"/>
          </w:tcPr>
          <w:p>
            <w:pPr>
              <w:keepNext w:val="0"/>
              <w:keepLines w:val="0"/>
              <w:pageBreakBefore w:val="0"/>
              <w:widowControl w:val="0"/>
              <w:wordWrap/>
              <w:overflowPunct/>
              <w:topLinePunct w:val="0"/>
              <w:bidi w:val="0"/>
            </w:pPr>
            <w:r>
              <w:rPr>
                <w:rFonts w:hint="eastAsia"/>
              </w:rPr>
              <w:t>通用安全技术</w:t>
            </w:r>
          </w:p>
        </w:tc>
        <w:tc>
          <w:tcPr>
            <w:tcW w:w="456" w:type="pct"/>
            <w:shd w:val="clear" w:color="auto" w:fill="FFFFFF"/>
            <w:tcMar>
              <w:top w:w="0" w:type="dxa"/>
              <w:left w:w="105" w:type="dxa"/>
              <w:bottom w:w="0" w:type="dxa"/>
              <w:right w:w="105" w:type="dxa"/>
            </w:tcMar>
            <w:vAlign w:val="center"/>
          </w:tcPr>
          <w:p>
            <w:pPr>
              <w:keepNext w:val="0"/>
              <w:keepLines w:val="0"/>
              <w:pageBreakBefore w:val="0"/>
              <w:widowControl w:val="0"/>
              <w:wordWrap/>
              <w:overflowPunct/>
              <w:topLinePunct w:val="0"/>
              <w:bidi w:val="0"/>
              <w:jc w:val="center"/>
            </w:pPr>
            <w:r>
              <w:rPr>
                <w:rFonts w:hint="eastAsia"/>
              </w:rPr>
              <w:t>2</w:t>
            </w:r>
          </w:p>
        </w:tc>
        <w:tc>
          <w:tcPr>
            <w:tcW w:w="456" w:type="pct"/>
            <w:vMerge w:val="continue"/>
            <w:shd w:val="clear" w:color="auto" w:fill="FFFFFF"/>
            <w:vAlign w:val="center"/>
          </w:tcPr>
          <w:p>
            <w:pPr>
              <w:keepNext w:val="0"/>
              <w:keepLines w:val="0"/>
              <w:pageBreakBefore w:val="0"/>
              <w:widowControl w:val="0"/>
              <w:wordWrap/>
              <w:overflowPunct/>
              <w:topLinePunct w:val="0"/>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23" w:type="pct"/>
            <w:vMerge w:val="continue"/>
            <w:shd w:val="clear" w:color="auto" w:fill="FFFFFF"/>
            <w:vAlign w:val="center"/>
          </w:tcPr>
          <w:p>
            <w:pPr>
              <w:keepNext w:val="0"/>
              <w:keepLines w:val="0"/>
              <w:pageBreakBefore w:val="0"/>
              <w:widowControl w:val="0"/>
              <w:wordWrap/>
              <w:overflowPunct/>
              <w:topLinePunct w:val="0"/>
              <w:bidi w:val="0"/>
            </w:pPr>
          </w:p>
        </w:tc>
        <w:tc>
          <w:tcPr>
            <w:tcW w:w="1117" w:type="pct"/>
            <w:vMerge w:val="continue"/>
            <w:shd w:val="clear" w:color="auto" w:fill="FFFFFF"/>
            <w:vAlign w:val="center"/>
          </w:tcPr>
          <w:p>
            <w:pPr>
              <w:keepNext w:val="0"/>
              <w:keepLines w:val="0"/>
              <w:pageBreakBefore w:val="0"/>
              <w:widowControl w:val="0"/>
              <w:wordWrap/>
              <w:overflowPunct/>
              <w:topLinePunct w:val="0"/>
              <w:bidi w:val="0"/>
            </w:pPr>
          </w:p>
        </w:tc>
        <w:tc>
          <w:tcPr>
            <w:tcW w:w="2348" w:type="pct"/>
            <w:shd w:val="clear" w:color="auto" w:fill="FFFFFF"/>
            <w:tcMar>
              <w:top w:w="0" w:type="dxa"/>
              <w:left w:w="105" w:type="dxa"/>
              <w:bottom w:w="0" w:type="dxa"/>
              <w:right w:w="105" w:type="dxa"/>
            </w:tcMar>
            <w:vAlign w:val="center"/>
          </w:tcPr>
          <w:p>
            <w:pPr>
              <w:keepNext w:val="0"/>
              <w:keepLines w:val="0"/>
              <w:pageBreakBefore w:val="0"/>
              <w:widowControl w:val="0"/>
              <w:wordWrap/>
              <w:overflowPunct/>
              <w:topLinePunct w:val="0"/>
              <w:bidi w:val="0"/>
            </w:pPr>
            <w:r>
              <w:rPr>
                <w:rFonts w:hint="eastAsia"/>
              </w:rPr>
              <w:t>本行业安全生产专业技术</w:t>
            </w:r>
          </w:p>
        </w:tc>
        <w:tc>
          <w:tcPr>
            <w:tcW w:w="456" w:type="pct"/>
            <w:shd w:val="clear" w:color="auto" w:fill="FFFFFF"/>
            <w:tcMar>
              <w:top w:w="0" w:type="dxa"/>
              <w:left w:w="105" w:type="dxa"/>
              <w:bottom w:w="0" w:type="dxa"/>
              <w:right w:w="105" w:type="dxa"/>
            </w:tcMar>
            <w:vAlign w:val="center"/>
          </w:tcPr>
          <w:p>
            <w:pPr>
              <w:keepNext w:val="0"/>
              <w:keepLines w:val="0"/>
              <w:pageBreakBefore w:val="0"/>
              <w:widowControl w:val="0"/>
              <w:wordWrap/>
              <w:overflowPunct/>
              <w:topLinePunct w:val="0"/>
              <w:bidi w:val="0"/>
              <w:jc w:val="center"/>
            </w:pPr>
            <w:r>
              <w:rPr>
                <w:rFonts w:hint="eastAsia"/>
              </w:rPr>
              <w:t>2</w:t>
            </w:r>
          </w:p>
        </w:tc>
        <w:tc>
          <w:tcPr>
            <w:tcW w:w="456" w:type="pct"/>
            <w:vMerge w:val="continue"/>
            <w:shd w:val="clear" w:color="auto" w:fill="FFFFFF"/>
            <w:vAlign w:val="center"/>
          </w:tcPr>
          <w:p>
            <w:pPr>
              <w:keepNext w:val="0"/>
              <w:keepLines w:val="0"/>
              <w:pageBreakBefore w:val="0"/>
              <w:widowControl w:val="0"/>
              <w:wordWrap/>
              <w:overflowPunct/>
              <w:topLinePunct w:val="0"/>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23" w:type="pct"/>
            <w:shd w:val="clear" w:color="auto" w:fill="FFFFFF"/>
            <w:tcMar>
              <w:top w:w="0" w:type="dxa"/>
              <w:left w:w="105" w:type="dxa"/>
              <w:bottom w:w="0" w:type="dxa"/>
              <w:right w:w="105" w:type="dxa"/>
            </w:tcMar>
            <w:vAlign w:val="center"/>
          </w:tcPr>
          <w:p>
            <w:pPr>
              <w:keepNext w:val="0"/>
              <w:keepLines w:val="0"/>
              <w:pageBreakBefore w:val="0"/>
              <w:widowControl w:val="0"/>
              <w:wordWrap/>
              <w:overflowPunct/>
              <w:topLinePunct w:val="0"/>
              <w:bidi w:val="0"/>
            </w:pPr>
            <w:r>
              <w:rPr>
                <w:rFonts w:hint="eastAsia"/>
              </w:rPr>
              <w:t>再培训</w:t>
            </w:r>
          </w:p>
        </w:tc>
        <w:tc>
          <w:tcPr>
            <w:tcW w:w="3465" w:type="pct"/>
            <w:gridSpan w:val="2"/>
            <w:shd w:val="clear" w:color="auto" w:fill="FFFFFF"/>
            <w:tcMar>
              <w:top w:w="0" w:type="dxa"/>
              <w:left w:w="105" w:type="dxa"/>
              <w:bottom w:w="0" w:type="dxa"/>
              <w:right w:w="105" w:type="dxa"/>
            </w:tcMar>
            <w:vAlign w:val="center"/>
          </w:tcPr>
          <w:p>
            <w:pPr>
              <w:keepNext w:val="0"/>
              <w:keepLines w:val="0"/>
              <w:pageBreakBefore w:val="0"/>
              <w:widowControl w:val="0"/>
              <w:wordWrap/>
              <w:overflowPunct/>
              <w:topLinePunct w:val="0"/>
              <w:bidi w:val="0"/>
            </w:pPr>
            <w:r>
              <w:rPr>
                <w:rFonts w:hint="eastAsia"/>
              </w:rPr>
              <w:t>（1）习近平总书记关于安全生产重要论述。</w:t>
            </w:r>
          </w:p>
          <w:p>
            <w:pPr>
              <w:keepNext w:val="0"/>
              <w:keepLines w:val="0"/>
              <w:pageBreakBefore w:val="0"/>
              <w:widowControl w:val="0"/>
              <w:wordWrap/>
              <w:overflowPunct/>
              <w:topLinePunct w:val="0"/>
              <w:bidi w:val="0"/>
            </w:pPr>
            <w:r>
              <w:rPr>
                <w:rFonts w:hint="eastAsia"/>
              </w:rPr>
              <w:t>（2）安全生产最新法律法规、国家标准和行业标准。</w:t>
            </w:r>
          </w:p>
          <w:p>
            <w:pPr>
              <w:keepNext w:val="0"/>
              <w:keepLines w:val="0"/>
              <w:pageBreakBefore w:val="0"/>
              <w:widowControl w:val="0"/>
              <w:wordWrap/>
              <w:overflowPunct/>
              <w:topLinePunct w:val="0"/>
              <w:bidi w:val="0"/>
            </w:pPr>
            <w:r>
              <w:rPr>
                <w:rFonts w:hint="eastAsia"/>
              </w:rPr>
              <w:t>（3）本行业新材料、新设备、新工艺及新技术的安全技术要求。</w:t>
            </w:r>
          </w:p>
          <w:p>
            <w:pPr>
              <w:keepNext w:val="0"/>
              <w:keepLines w:val="0"/>
              <w:pageBreakBefore w:val="0"/>
              <w:widowControl w:val="0"/>
              <w:wordWrap/>
              <w:overflowPunct/>
              <w:topLinePunct w:val="0"/>
              <w:bidi w:val="0"/>
            </w:pPr>
            <w:r>
              <w:rPr>
                <w:rFonts w:hint="eastAsia"/>
              </w:rPr>
              <w:t>（4）本行业国内外先进安全生产管理经验。</w:t>
            </w:r>
          </w:p>
          <w:p>
            <w:pPr>
              <w:keepNext w:val="0"/>
              <w:keepLines w:val="0"/>
              <w:pageBreakBefore w:val="0"/>
              <w:widowControl w:val="0"/>
              <w:wordWrap/>
              <w:overflowPunct/>
              <w:topLinePunct w:val="0"/>
              <w:bidi w:val="0"/>
            </w:pPr>
            <w:r>
              <w:rPr>
                <w:rFonts w:hint="eastAsia"/>
              </w:rPr>
              <w:t>（5）本行业</w:t>
            </w:r>
            <w:r>
              <w:rPr>
                <w:rFonts w:hint="eastAsia"/>
                <w:lang w:eastAsia="zh-CN"/>
              </w:rPr>
              <w:t>典型生产安全事故</w:t>
            </w:r>
            <w:r>
              <w:rPr>
                <w:rFonts w:hint="eastAsia"/>
              </w:rPr>
              <w:t>案例分析。</w:t>
            </w:r>
          </w:p>
        </w:tc>
        <w:tc>
          <w:tcPr>
            <w:tcW w:w="456" w:type="pct"/>
            <w:shd w:val="clear" w:color="auto" w:fill="FFFFFF"/>
            <w:tcMar>
              <w:top w:w="0" w:type="dxa"/>
              <w:left w:w="105" w:type="dxa"/>
              <w:bottom w:w="0" w:type="dxa"/>
              <w:right w:w="105" w:type="dxa"/>
            </w:tcMar>
            <w:vAlign w:val="center"/>
          </w:tcPr>
          <w:p>
            <w:pPr>
              <w:keepNext w:val="0"/>
              <w:keepLines w:val="0"/>
              <w:pageBreakBefore w:val="0"/>
              <w:widowControl w:val="0"/>
              <w:wordWrap/>
              <w:overflowPunct/>
              <w:topLinePunct w:val="0"/>
              <w:bidi w:val="0"/>
              <w:jc w:val="center"/>
            </w:pPr>
            <w:r>
              <w:rPr>
                <w:rFonts w:hint="eastAsia"/>
              </w:rPr>
              <w:t>12</w:t>
            </w:r>
          </w:p>
        </w:tc>
        <w:tc>
          <w:tcPr>
            <w:tcW w:w="456" w:type="pct"/>
            <w:shd w:val="clear" w:color="auto" w:fill="FFFFFF"/>
            <w:vAlign w:val="center"/>
          </w:tcPr>
          <w:p>
            <w:pPr>
              <w:keepNext w:val="0"/>
              <w:keepLines w:val="0"/>
              <w:pageBreakBefore w:val="0"/>
              <w:widowControl w:val="0"/>
              <w:wordWrap/>
              <w:overflowPunct/>
              <w:topLinePunct w:val="0"/>
              <w:bidi w:val="0"/>
              <w:jc w:val="center"/>
            </w:pPr>
            <w:r>
              <w:rPr>
                <w:rFonts w:hint="eastAsia"/>
              </w:rPr>
              <w:t>12</w:t>
            </w:r>
          </w:p>
        </w:tc>
      </w:tr>
    </w:tbl>
    <w:p>
      <w:pPr>
        <w:keepNext w:val="0"/>
        <w:keepLines w:val="0"/>
        <w:pageBreakBefore w:val="0"/>
        <w:widowControl w:val="0"/>
        <w:wordWrap/>
        <w:overflowPunct/>
        <w:topLinePunct w:val="0"/>
        <w:bidi w:val="0"/>
        <w:spacing w:line="560" w:lineRule="exact"/>
        <w:jc w:val="center"/>
        <w:rPr>
          <w:rFonts w:hint="eastAsia" w:ascii="仿宋_GB2312" w:hAnsi="仿宋_GB2312" w:eastAsia="仿宋_GB2312" w:cs="仿宋_GB2312"/>
          <w:bCs/>
          <w:sz w:val="32"/>
          <w:szCs w:val="32"/>
        </w:rPr>
      </w:pPr>
    </w:p>
    <w:p>
      <w:pPr>
        <w:keepNext w:val="0"/>
        <w:keepLines w:val="0"/>
        <w:pageBreakBefore w:val="0"/>
        <w:widowControl w:val="0"/>
        <w:kinsoku w:val="0"/>
        <w:wordWrap/>
        <w:overflowPunct/>
        <w:topLinePunct w:val="0"/>
        <w:autoSpaceDE w:val="0"/>
        <w:autoSpaceDN w:val="0"/>
        <w:bidi w:val="0"/>
        <w:adjustRightInd w:val="0"/>
        <w:snapToGrid w:val="0"/>
        <w:spacing w:line="700" w:lineRule="exact"/>
        <w:ind w:firstLine="610" w:firstLineChars="200"/>
        <w:jc w:val="left"/>
        <w:textAlignment w:val="baseline"/>
        <w:outlineLvl w:val="0"/>
        <w:rPr>
          <w:rFonts w:hint="eastAsia" w:ascii="黑体" w:hAnsi="黑体" w:eastAsia="黑体" w:cs="黑体"/>
          <w:b/>
          <w:bCs/>
          <w:snapToGrid w:val="0"/>
          <w:spacing w:val="-8"/>
          <w:kern w:val="0"/>
          <w:sz w:val="32"/>
          <w:szCs w:val="32"/>
        </w:rPr>
      </w:pPr>
      <w:bookmarkStart w:id="5" w:name="_Toc207271450"/>
      <w:r>
        <w:rPr>
          <w:rFonts w:ascii="黑体" w:hAnsi="黑体" w:eastAsia="黑体" w:cs="黑体"/>
          <w:b/>
          <w:bCs/>
          <w:snapToGrid w:val="0"/>
          <w:spacing w:val="-8"/>
          <w:kern w:val="0"/>
          <w:sz w:val="32"/>
          <w:szCs w:val="32"/>
        </w:rPr>
        <w:t>5</w:t>
      </w:r>
      <w:r>
        <w:rPr>
          <w:rFonts w:hint="eastAsia" w:ascii="黑体" w:hAnsi="黑体" w:eastAsia="黑体" w:cs="黑体"/>
          <w:b/>
          <w:bCs/>
          <w:snapToGrid w:val="0"/>
          <w:spacing w:val="-8"/>
          <w:kern w:val="0"/>
          <w:sz w:val="32"/>
          <w:szCs w:val="32"/>
        </w:rPr>
        <w:t xml:space="preserve"> </w:t>
      </w:r>
      <w:r>
        <w:rPr>
          <w:rFonts w:ascii="黑体" w:hAnsi="黑体" w:eastAsia="黑体" w:cs="黑体"/>
          <w:b/>
          <w:bCs/>
          <w:snapToGrid w:val="0"/>
          <w:spacing w:val="-8"/>
          <w:kern w:val="0"/>
          <w:sz w:val="32"/>
          <w:szCs w:val="32"/>
        </w:rPr>
        <w:t>考核</w:t>
      </w:r>
      <w:r>
        <w:rPr>
          <w:rFonts w:hint="eastAsia" w:ascii="黑体" w:hAnsi="黑体" w:eastAsia="黑体" w:cs="黑体"/>
          <w:b/>
          <w:bCs/>
          <w:snapToGrid w:val="0"/>
          <w:spacing w:val="-8"/>
          <w:kern w:val="0"/>
          <w:sz w:val="32"/>
          <w:szCs w:val="32"/>
        </w:rPr>
        <w:t>标准</w:t>
      </w:r>
      <w:bookmarkEnd w:id="5"/>
    </w:p>
    <w:p>
      <w:pPr>
        <w:keepNext w:val="0"/>
        <w:keepLines w:val="0"/>
        <w:pageBreakBefore w:val="0"/>
        <w:widowControl w:val="0"/>
        <w:kinsoku w:val="0"/>
        <w:wordWrap/>
        <w:overflowPunct/>
        <w:topLinePunct w:val="0"/>
        <w:autoSpaceDE w:val="0"/>
        <w:autoSpaceDN w:val="0"/>
        <w:bidi w:val="0"/>
        <w:adjustRightInd w:val="0"/>
        <w:snapToGrid w:val="0"/>
        <w:spacing w:line="700" w:lineRule="exact"/>
        <w:ind w:firstLine="650" w:firstLineChars="200"/>
        <w:jc w:val="left"/>
        <w:textAlignment w:val="baseline"/>
        <w:rPr>
          <w:rFonts w:hint="eastAsia" w:ascii="楷体_GB2312" w:hAnsi="楷体" w:eastAsia="楷体_GB2312" w:cs="楷体"/>
          <w:b/>
          <w:bCs/>
          <w:snapToGrid w:val="0"/>
          <w:spacing w:val="2"/>
          <w:kern w:val="0"/>
          <w:sz w:val="32"/>
          <w:szCs w:val="32"/>
        </w:rPr>
      </w:pPr>
      <w:r>
        <w:rPr>
          <w:rFonts w:hint="eastAsia" w:ascii="楷体_GB2312" w:hAnsi="楷体" w:eastAsia="楷体_GB2312" w:cs="楷体"/>
          <w:b/>
          <w:bCs/>
          <w:snapToGrid w:val="0"/>
          <w:spacing w:val="2"/>
          <w:kern w:val="0"/>
          <w:sz w:val="32"/>
          <w:szCs w:val="32"/>
        </w:rPr>
        <w:t>5.1考核办法</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5.1.1 考核内容分为安全生产法律法规与责任意识、安全生产管理、安全生产技术三部分，其中安全生产法律法规与责任意识占</w:t>
      </w:r>
      <w:r>
        <w:rPr>
          <w:rFonts w:hint="eastAsia" w:ascii="仿宋_GB2312" w:hAnsi="仿宋_GB2312" w:eastAsia="仿宋_GB2312" w:cs="仿宋_GB2312"/>
          <w:snapToGrid w:val="0"/>
          <w:kern w:val="0"/>
          <w:sz w:val="32"/>
          <w:szCs w:val="32"/>
          <w:lang w:val="en-US" w:eastAsia="zh-CN"/>
        </w:rPr>
        <w:t>3</w:t>
      </w:r>
      <w:r>
        <w:rPr>
          <w:rFonts w:hint="eastAsia" w:ascii="仿宋_GB2312" w:hAnsi="仿宋_GB2312" w:eastAsia="仿宋_GB2312" w:cs="仿宋_GB2312"/>
          <w:snapToGrid w:val="0"/>
          <w:kern w:val="0"/>
          <w:sz w:val="32"/>
          <w:szCs w:val="32"/>
        </w:rPr>
        <w:t>0%、安全生产管理占50%、安全生产技术占</w:t>
      </w:r>
      <w:r>
        <w:rPr>
          <w:rFonts w:hint="eastAsia" w:ascii="仿宋_GB2312" w:hAnsi="仿宋_GB2312" w:eastAsia="仿宋_GB2312" w:cs="仿宋_GB2312"/>
          <w:snapToGrid w:val="0"/>
          <w:kern w:val="0"/>
          <w:sz w:val="32"/>
          <w:szCs w:val="32"/>
          <w:lang w:val="en-US" w:eastAsia="zh-CN"/>
        </w:rPr>
        <w:t>2</w:t>
      </w:r>
      <w:r>
        <w:rPr>
          <w:rFonts w:hint="eastAsia" w:ascii="仿宋_GB2312" w:hAnsi="仿宋_GB2312" w:eastAsia="仿宋_GB2312" w:cs="仿宋_GB2312"/>
          <w:snapToGrid w:val="0"/>
          <w:kern w:val="0"/>
          <w:sz w:val="32"/>
          <w:szCs w:val="32"/>
        </w:rPr>
        <w:t>0%。</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pacing w:val="1"/>
          <w:sz w:val="32"/>
          <w:szCs w:val="32"/>
        </w:rPr>
      </w:pPr>
      <w:r>
        <w:rPr>
          <w:rFonts w:hint="eastAsia" w:ascii="仿宋_GB2312" w:hAnsi="仿宋_GB2312" w:eastAsia="仿宋_GB2312" w:cs="仿宋_GB2312"/>
          <w:sz w:val="32"/>
          <w:szCs w:val="32"/>
        </w:rPr>
        <w:t>5.1.2 考试采用百分制，</w:t>
      </w:r>
      <w:r>
        <w:rPr>
          <w:rFonts w:hint="eastAsia" w:ascii="仿宋_GB2312" w:hAnsi="仿宋_GB2312" w:eastAsia="仿宋_GB2312" w:cs="仿宋_GB2312"/>
          <w:spacing w:val="1"/>
          <w:sz w:val="32"/>
          <w:szCs w:val="32"/>
        </w:rPr>
        <w:t>满分100分，80分及以上为合格。推荐采用电脑端或移动端等线上、闭卷方式考试，原则上考试时间不少于60分钟。</w:t>
      </w:r>
    </w:p>
    <w:p>
      <w:pPr>
        <w:keepNext w:val="0"/>
        <w:keepLines w:val="0"/>
        <w:pageBreakBefore w:val="0"/>
        <w:widowControl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rPr>
        <w:t>5.1.3 考核要点的层次分为了解、熟悉和掌握，三个层次由低到高，高层次的要求包含低层次的要求</w:t>
      </w:r>
      <w:r>
        <w:rPr>
          <w:rFonts w:hint="eastAsia" w:ascii="仿宋_GB2312" w:hAnsi="仿宋_GB2312" w:eastAsia="仿宋_GB2312" w:cs="仿宋_GB2312"/>
          <w:sz w:val="32"/>
          <w:szCs w:val="32"/>
        </w:rPr>
        <w:t>，具体规定如下：</w:t>
      </w:r>
    </w:p>
    <w:p>
      <w:pPr>
        <w:keepNext w:val="0"/>
        <w:keepLines w:val="0"/>
        <w:pageBreakBefore w:val="0"/>
        <w:widowControl w:val="0"/>
        <w:wordWrap/>
        <w:overflowPunct/>
        <w:topLinePunct w:val="0"/>
        <w:bidi w:val="0"/>
        <w:spacing w:line="56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z w:val="32"/>
          <w:szCs w:val="32"/>
        </w:rPr>
        <w:t>了解：能正确理解本大纲所列知识的含义、内容。熟悉：对本大纲所列知识有较深的认识，能够分析、解释并应用相关知识解决问题。掌握：对本大纲所列知识有全面、深刻的认识，能够综合分析、解决较为复杂的相关问题。</w:t>
      </w:r>
    </w:p>
    <w:p>
      <w:pPr>
        <w:keepNext w:val="0"/>
        <w:keepLines w:val="0"/>
        <w:pageBreakBefore w:val="0"/>
        <w:widowControl w:val="0"/>
        <w:kinsoku w:val="0"/>
        <w:wordWrap/>
        <w:overflowPunct/>
        <w:topLinePunct w:val="0"/>
        <w:autoSpaceDE w:val="0"/>
        <w:autoSpaceDN w:val="0"/>
        <w:bidi w:val="0"/>
        <w:adjustRightInd w:val="0"/>
        <w:snapToGrid w:val="0"/>
        <w:spacing w:line="700" w:lineRule="exact"/>
        <w:ind w:firstLine="650" w:firstLineChars="200"/>
        <w:jc w:val="left"/>
        <w:textAlignment w:val="baseline"/>
        <w:rPr>
          <w:rFonts w:hint="eastAsia" w:ascii="楷体_GB2312" w:hAnsi="楷体" w:eastAsia="楷体_GB2312" w:cs="楷体"/>
          <w:b/>
          <w:bCs/>
          <w:snapToGrid w:val="0"/>
          <w:spacing w:val="2"/>
          <w:kern w:val="0"/>
          <w:sz w:val="32"/>
          <w:szCs w:val="32"/>
        </w:rPr>
      </w:pPr>
      <w:r>
        <w:rPr>
          <w:rFonts w:ascii="楷体_GB2312" w:hAnsi="楷体" w:eastAsia="楷体_GB2312" w:cs="楷体"/>
          <w:b/>
          <w:bCs/>
          <w:snapToGrid w:val="0"/>
          <w:spacing w:val="2"/>
          <w:kern w:val="0"/>
          <w:sz w:val="32"/>
          <w:szCs w:val="32"/>
        </w:rPr>
        <w:t>5.</w:t>
      </w:r>
      <w:r>
        <w:rPr>
          <w:rFonts w:hint="eastAsia" w:ascii="楷体_GB2312" w:hAnsi="楷体" w:eastAsia="楷体_GB2312" w:cs="楷体"/>
          <w:b/>
          <w:bCs/>
          <w:snapToGrid w:val="0"/>
          <w:spacing w:val="2"/>
          <w:kern w:val="0"/>
          <w:sz w:val="32"/>
          <w:szCs w:val="32"/>
        </w:rPr>
        <w:t>2 考核要点</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5</w:t>
      </w:r>
      <w:r>
        <w:rPr>
          <w:rFonts w:ascii="仿宋_GB2312" w:hAnsi="仿宋_GB2312" w:eastAsia="仿宋_GB2312" w:cs="仿宋_GB2312"/>
          <w:snapToGrid w:val="0"/>
          <w:kern w:val="0"/>
          <w:sz w:val="32"/>
          <w:szCs w:val="32"/>
        </w:rPr>
        <w:t>.2.1</w:t>
      </w:r>
      <w:r>
        <w:rPr>
          <w:rFonts w:hint="eastAsia" w:ascii="仿宋_GB2312" w:hAnsi="仿宋_GB2312" w:eastAsia="仿宋_GB2312" w:cs="仿宋_GB2312"/>
          <w:snapToGrid w:val="0"/>
          <w:kern w:val="0"/>
          <w:sz w:val="32"/>
          <w:szCs w:val="32"/>
        </w:rPr>
        <w:t xml:space="preserve"> 安全生产法律法规与责任意识</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 xml:space="preserve">5.2.1.1 </w:t>
      </w:r>
      <w:r>
        <w:rPr>
          <w:rFonts w:ascii="仿宋_GB2312" w:hAnsi="仿宋_GB2312" w:eastAsia="仿宋_GB2312" w:cs="仿宋_GB2312"/>
          <w:snapToGrid w:val="0"/>
          <w:kern w:val="0"/>
          <w:sz w:val="32"/>
          <w:szCs w:val="32"/>
        </w:rPr>
        <w:t>安全生产</w:t>
      </w:r>
      <w:r>
        <w:rPr>
          <w:rFonts w:hint="eastAsia" w:ascii="仿宋_GB2312" w:hAnsi="仿宋_GB2312" w:eastAsia="仿宋_GB2312" w:cs="仿宋_GB2312"/>
          <w:snapToGrid w:val="0"/>
          <w:kern w:val="0"/>
          <w:sz w:val="32"/>
          <w:szCs w:val="32"/>
        </w:rPr>
        <w:t>重要思想及方针政策</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w:t>
      </w:r>
      <w:r>
        <w:rPr>
          <w:rFonts w:hint="eastAsia" w:ascii="仿宋_GB2312" w:hAnsi="仿宋_GB2312" w:eastAsia="仿宋_GB2312" w:cs="仿宋_GB2312"/>
          <w:snapToGrid w:val="0"/>
          <w:kern w:val="0"/>
          <w:sz w:val="32"/>
          <w:szCs w:val="32"/>
          <w:lang w:val="en-US" w:eastAsia="zh-CN"/>
        </w:rPr>
        <w:t>熟悉</w:t>
      </w:r>
      <w:r>
        <w:rPr>
          <w:rFonts w:hint="eastAsia" w:ascii="仿宋_GB2312" w:hAnsi="仿宋_GB2312" w:eastAsia="仿宋_GB2312" w:cs="仿宋_GB2312"/>
          <w:snapToGrid w:val="0"/>
          <w:kern w:val="0"/>
          <w:sz w:val="32"/>
          <w:szCs w:val="32"/>
        </w:rPr>
        <w:t>习近平总书记关于安全生产重要论述；</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2）了解国家安全生产方针和基本政策；</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3）熟悉国家安全生产监督管理体制的基本框架和各级监管部门的主要职能。</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5.2.1.2 安全生产法律法规</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rPr>
        <w:t>1）</w:t>
      </w:r>
      <w:r>
        <w:rPr>
          <w:rFonts w:hint="eastAsia" w:ascii="仿宋_GB2312" w:hAnsi="仿宋_GB2312" w:eastAsia="仿宋_GB2312" w:cs="仿宋_GB2312"/>
          <w:snapToGrid w:val="0"/>
          <w:kern w:val="0"/>
          <w:sz w:val="32"/>
          <w:szCs w:val="32"/>
          <w:lang w:val="en-US" w:eastAsia="zh-CN"/>
        </w:rPr>
        <w:t>了解国家安全生产法律体系；</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lang w:val="en-US" w:eastAsia="zh-CN"/>
        </w:rPr>
        <w:t>2）熟悉</w:t>
      </w:r>
      <w:r>
        <w:rPr>
          <w:rFonts w:hint="eastAsia" w:ascii="仿宋_GB2312" w:hAnsi="仿宋_GB2312" w:eastAsia="仿宋_GB2312" w:cs="仿宋_GB2312"/>
          <w:snapToGrid w:val="0"/>
          <w:kern w:val="0"/>
          <w:sz w:val="32"/>
          <w:szCs w:val="32"/>
        </w:rPr>
        <w:t>常用安全生产相关法律法规规章，包括《</w:t>
      </w:r>
      <w:r>
        <w:rPr>
          <w:rFonts w:hint="eastAsia" w:ascii="仿宋_GB2312" w:hAnsi="仿宋_GB2312" w:eastAsia="仿宋_GB2312" w:cs="仿宋_GB2312"/>
          <w:snapToGrid w:val="0"/>
          <w:kern w:val="0"/>
          <w:sz w:val="32"/>
          <w:szCs w:val="32"/>
          <w:lang w:val="en-US" w:eastAsia="zh-CN"/>
        </w:rPr>
        <w:t>中华人民共和国</w:t>
      </w:r>
      <w:r>
        <w:rPr>
          <w:rFonts w:hint="eastAsia" w:ascii="仿宋_GB2312" w:hAnsi="仿宋_GB2312" w:eastAsia="仿宋_GB2312" w:cs="仿宋_GB2312"/>
          <w:snapToGrid w:val="0"/>
          <w:kern w:val="0"/>
          <w:sz w:val="32"/>
          <w:szCs w:val="32"/>
        </w:rPr>
        <w:t>安全生产法》《</w:t>
      </w:r>
      <w:r>
        <w:rPr>
          <w:rFonts w:hint="eastAsia" w:ascii="仿宋_GB2312" w:hAnsi="仿宋_GB2312" w:eastAsia="仿宋_GB2312" w:cs="仿宋_GB2312"/>
          <w:snapToGrid w:val="0"/>
          <w:kern w:val="0"/>
          <w:sz w:val="32"/>
          <w:szCs w:val="32"/>
          <w:lang w:val="en-US" w:eastAsia="zh-CN"/>
        </w:rPr>
        <w:t>中华人民共和国</w:t>
      </w:r>
      <w:r>
        <w:rPr>
          <w:rFonts w:hint="eastAsia" w:ascii="仿宋_GB2312" w:hAnsi="仿宋_GB2312" w:eastAsia="仿宋_GB2312" w:cs="仿宋_GB2312"/>
          <w:snapToGrid w:val="0"/>
          <w:kern w:val="0"/>
          <w:sz w:val="32"/>
          <w:szCs w:val="32"/>
        </w:rPr>
        <w:t>消防法》《</w:t>
      </w:r>
      <w:r>
        <w:rPr>
          <w:rFonts w:hint="eastAsia" w:ascii="仿宋_GB2312" w:hAnsi="仿宋_GB2312" w:eastAsia="仿宋_GB2312" w:cs="仿宋_GB2312"/>
          <w:snapToGrid w:val="0"/>
          <w:kern w:val="0"/>
          <w:sz w:val="32"/>
          <w:szCs w:val="32"/>
          <w:lang w:val="en-US" w:eastAsia="zh-CN"/>
        </w:rPr>
        <w:t>中华人民共和国</w:t>
      </w:r>
      <w:r>
        <w:rPr>
          <w:rFonts w:hint="eastAsia" w:ascii="仿宋_GB2312" w:hAnsi="仿宋_GB2312" w:eastAsia="仿宋_GB2312" w:cs="仿宋_GB2312"/>
          <w:snapToGrid w:val="0"/>
          <w:kern w:val="0"/>
          <w:sz w:val="32"/>
          <w:szCs w:val="32"/>
        </w:rPr>
        <w:t>特种设备安全法》《生产安全事故应急条例》《生产安全事故报告和调查处理条例》《生产安全事故应急预案管理办法》等；</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lang w:val="en-US" w:eastAsia="zh-CN"/>
        </w:rPr>
        <w:t>3</w:t>
      </w:r>
      <w:r>
        <w:rPr>
          <w:rFonts w:hint="eastAsia" w:ascii="仿宋_GB2312" w:hAnsi="仿宋_GB2312" w:eastAsia="仿宋_GB2312" w:cs="仿宋_GB2312"/>
          <w:snapToGrid w:val="0"/>
          <w:kern w:val="0"/>
          <w:sz w:val="32"/>
          <w:szCs w:val="32"/>
        </w:rPr>
        <w:t>）熟悉所属行业有关安全生产国家标准、行业标准。</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5.2.1.3 安全责任意识</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napToGrid w:val="0"/>
          <w:kern w:val="0"/>
          <w:sz w:val="32"/>
          <w:szCs w:val="32"/>
          <w:highlight w:val="none"/>
        </w:rPr>
        <w:t>1）</w:t>
      </w:r>
      <w:r>
        <w:rPr>
          <w:rFonts w:hint="eastAsia" w:ascii="仿宋_GB2312" w:hAnsi="仿宋_GB2312" w:eastAsia="仿宋_GB2312" w:cs="仿宋_GB2312"/>
          <w:sz w:val="32"/>
          <w:szCs w:val="32"/>
          <w:highlight w:val="none"/>
          <w:lang w:eastAsia="zh-CN"/>
        </w:rPr>
        <w:t>掌握</w:t>
      </w:r>
      <w:r>
        <w:rPr>
          <w:rFonts w:hint="eastAsia" w:ascii="仿宋_GB2312" w:hAnsi="仿宋_GB2312" w:eastAsia="仿宋_GB2312" w:cs="仿宋_GB2312"/>
          <w:sz w:val="32"/>
          <w:szCs w:val="32"/>
          <w:highlight w:val="none"/>
          <w:lang w:val="en-US" w:eastAsia="zh-CN"/>
        </w:rPr>
        <w:t>生产经营单位主要负责人和</w:t>
      </w:r>
      <w:r>
        <w:rPr>
          <w:rFonts w:hint="eastAsia" w:ascii="仿宋_GB2312" w:hAnsi="仿宋_GB2312" w:eastAsia="仿宋_GB2312" w:cs="仿宋_GB2312"/>
          <w:sz w:val="32"/>
          <w:szCs w:val="32"/>
          <w:highlight w:val="none"/>
          <w:lang w:eastAsia="zh-CN"/>
        </w:rPr>
        <w:t>安全生产管理人员的</w:t>
      </w:r>
      <w:r>
        <w:rPr>
          <w:rFonts w:hint="eastAsia" w:ascii="仿宋_GB2312" w:hAnsi="仿宋_GB2312" w:eastAsia="仿宋_GB2312" w:cs="仿宋_GB2312"/>
          <w:sz w:val="32"/>
          <w:szCs w:val="32"/>
          <w:highlight w:val="none"/>
          <w:lang w:val="en-US" w:eastAsia="zh-CN"/>
        </w:rPr>
        <w:t>安全生产</w:t>
      </w:r>
      <w:r>
        <w:rPr>
          <w:rFonts w:hint="eastAsia" w:ascii="仿宋_GB2312" w:hAnsi="仿宋_GB2312" w:eastAsia="仿宋_GB2312" w:cs="仿宋_GB2312"/>
          <w:sz w:val="32"/>
          <w:szCs w:val="32"/>
          <w:highlight w:val="none"/>
          <w:lang w:eastAsia="zh-CN"/>
        </w:rPr>
        <w:t>职责；</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highlight w:val="yellow"/>
          <w:lang w:eastAsia="zh-CN"/>
        </w:rPr>
      </w:pPr>
      <w:r>
        <w:rPr>
          <w:rFonts w:hint="eastAsia" w:ascii="仿宋_GB2312" w:hAnsi="仿宋_GB2312" w:eastAsia="仿宋_GB2312" w:cs="仿宋_GB2312"/>
          <w:sz w:val="32"/>
          <w:szCs w:val="32"/>
          <w:highlight w:val="none"/>
          <w:lang w:eastAsia="zh-CN"/>
        </w:rPr>
        <w:t>2）熟悉</w:t>
      </w:r>
      <w:r>
        <w:rPr>
          <w:rFonts w:hint="eastAsia" w:ascii="仿宋_GB2312" w:hAnsi="仿宋_GB2312" w:eastAsia="仿宋_GB2312" w:cs="仿宋_GB2312"/>
          <w:sz w:val="32"/>
          <w:szCs w:val="32"/>
          <w:highlight w:val="none"/>
          <w:lang w:val="en-US" w:eastAsia="zh-CN"/>
        </w:rPr>
        <w:t>生产经营单位</w:t>
      </w:r>
      <w:r>
        <w:rPr>
          <w:rFonts w:hint="eastAsia" w:ascii="仿宋_GB2312" w:hAnsi="仿宋_GB2312" w:eastAsia="仿宋_GB2312" w:cs="仿宋_GB2312"/>
          <w:sz w:val="32"/>
          <w:szCs w:val="32"/>
          <w:highlight w:val="none"/>
          <w:lang w:eastAsia="zh-CN"/>
        </w:rPr>
        <w:t>从业人员的</w:t>
      </w:r>
      <w:r>
        <w:rPr>
          <w:rFonts w:hint="eastAsia" w:ascii="仿宋_GB2312" w:hAnsi="仿宋_GB2312" w:eastAsia="仿宋_GB2312" w:cs="仿宋_GB2312"/>
          <w:sz w:val="32"/>
          <w:szCs w:val="32"/>
          <w:highlight w:val="none"/>
          <w:lang w:val="en-US" w:eastAsia="zh-CN"/>
        </w:rPr>
        <w:t>安全生产</w:t>
      </w:r>
      <w:r>
        <w:rPr>
          <w:rFonts w:hint="eastAsia" w:ascii="仿宋_GB2312" w:hAnsi="仿宋_GB2312" w:eastAsia="仿宋_GB2312" w:cs="仿宋_GB2312"/>
          <w:sz w:val="32"/>
          <w:szCs w:val="32"/>
          <w:highlight w:val="none"/>
          <w:lang w:eastAsia="zh-CN"/>
        </w:rPr>
        <w:t>权利和义务；</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3）熟悉《刑法》有关重大责任事故罪，强令、组织他人违章冒险作业罪，危险作业罪、重大劳动安全事故罪，不报、谎报安全事故罪等法条规定。</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5</w:t>
      </w:r>
      <w:r>
        <w:rPr>
          <w:rFonts w:ascii="仿宋_GB2312" w:hAnsi="仿宋_GB2312" w:eastAsia="仿宋_GB2312" w:cs="仿宋_GB2312"/>
          <w:snapToGrid w:val="0"/>
          <w:kern w:val="0"/>
          <w:sz w:val="32"/>
          <w:szCs w:val="32"/>
        </w:rPr>
        <w:t>.2.2</w:t>
      </w:r>
      <w:r>
        <w:rPr>
          <w:rFonts w:hint="eastAsia" w:ascii="仿宋_GB2312" w:hAnsi="仿宋_GB2312" w:eastAsia="仿宋_GB2312" w:cs="仿宋_GB2312"/>
          <w:snapToGrid w:val="0"/>
          <w:kern w:val="0"/>
          <w:sz w:val="32"/>
          <w:szCs w:val="32"/>
        </w:rPr>
        <w:t xml:space="preserve"> </w:t>
      </w:r>
      <w:r>
        <w:rPr>
          <w:rFonts w:ascii="仿宋_GB2312" w:hAnsi="仿宋_GB2312" w:eastAsia="仿宋_GB2312" w:cs="仿宋_GB2312"/>
          <w:snapToGrid w:val="0"/>
          <w:kern w:val="0"/>
          <w:sz w:val="32"/>
          <w:szCs w:val="32"/>
        </w:rPr>
        <w:t>安全生产管理</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 xml:space="preserve">5.2.2.1 </w:t>
      </w:r>
      <w:r>
        <w:rPr>
          <w:rFonts w:ascii="仿宋_GB2312" w:hAnsi="仿宋_GB2312" w:eastAsia="仿宋_GB2312" w:cs="仿宋_GB2312"/>
          <w:snapToGrid w:val="0"/>
          <w:kern w:val="0"/>
          <w:sz w:val="32"/>
          <w:szCs w:val="32"/>
        </w:rPr>
        <w:t>安</w:t>
      </w:r>
      <w:r>
        <w:rPr>
          <w:rFonts w:hint="eastAsia" w:ascii="仿宋_GB2312" w:hAnsi="仿宋_GB2312" w:eastAsia="仿宋_GB2312" w:cs="仿宋_GB2312"/>
          <w:snapToGrid w:val="0"/>
          <w:kern w:val="0"/>
          <w:sz w:val="32"/>
          <w:szCs w:val="32"/>
        </w:rPr>
        <w:t>全生产管理基础知识</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1</w:t>
      </w:r>
      <w:r>
        <w:rPr>
          <w:rFonts w:hint="eastAsia" w:ascii="仿宋_GB2312" w:hAnsi="仿宋_GB2312" w:eastAsia="仿宋_GB2312" w:cs="仿宋_GB2312"/>
          <w:snapToGrid w:val="0"/>
          <w:kern w:val="0"/>
          <w:sz w:val="32"/>
          <w:szCs w:val="32"/>
        </w:rPr>
        <w:t>）</w:t>
      </w:r>
      <w:r>
        <w:rPr>
          <w:rFonts w:hint="eastAsia" w:ascii="仿宋_GB2312" w:hAnsi="仿宋_GB2312" w:eastAsia="仿宋_GB2312" w:cs="仿宋_GB2312"/>
          <w:spacing w:val="5"/>
          <w:sz w:val="32"/>
          <w:szCs w:val="32"/>
          <w:lang w:val="en-US" w:eastAsia="zh-CN"/>
        </w:rPr>
        <w:t>掌握事故、事故隐患、</w:t>
      </w:r>
      <w:r>
        <w:rPr>
          <w:rFonts w:hint="eastAsia" w:ascii="仿宋_GB2312" w:hAnsi="仿宋_GB2312" w:eastAsia="仿宋_GB2312" w:cs="仿宋_GB2312"/>
          <w:spacing w:val="5"/>
          <w:sz w:val="32"/>
          <w:szCs w:val="32"/>
        </w:rPr>
        <w:t>危险源、</w:t>
      </w:r>
      <w:r>
        <w:rPr>
          <w:rFonts w:hint="eastAsia" w:ascii="仿宋_GB2312" w:hAnsi="仿宋_GB2312" w:eastAsia="仿宋_GB2312" w:cs="仿宋_GB2312"/>
          <w:spacing w:val="5"/>
          <w:sz w:val="32"/>
          <w:szCs w:val="32"/>
          <w:lang w:val="en-US" w:eastAsia="zh-CN"/>
        </w:rPr>
        <w:t>安全</w:t>
      </w:r>
      <w:r>
        <w:rPr>
          <w:rFonts w:hint="eastAsia" w:ascii="仿宋_GB2312" w:hAnsi="仿宋_GB2312" w:eastAsia="仿宋_GB2312" w:cs="仿宋_GB2312"/>
          <w:spacing w:val="5"/>
          <w:sz w:val="32"/>
          <w:szCs w:val="32"/>
        </w:rPr>
        <w:t>风险、</w:t>
      </w:r>
      <w:r>
        <w:rPr>
          <w:rFonts w:hint="eastAsia" w:ascii="仿宋_GB2312" w:hAnsi="仿宋_GB2312" w:eastAsia="仿宋_GB2312" w:cs="仿宋_GB2312"/>
          <w:spacing w:val="5"/>
          <w:sz w:val="32"/>
          <w:szCs w:val="32"/>
          <w:lang w:val="en-US" w:eastAsia="zh-CN"/>
        </w:rPr>
        <w:t>危险作业</w:t>
      </w:r>
      <w:r>
        <w:rPr>
          <w:rFonts w:hint="eastAsia" w:ascii="仿宋_GB2312" w:hAnsi="仿宋_GB2312" w:eastAsia="仿宋_GB2312" w:cs="仿宋_GB2312"/>
          <w:spacing w:val="5"/>
          <w:sz w:val="32"/>
          <w:szCs w:val="32"/>
        </w:rPr>
        <w:t>等基本概念；</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2）</w:t>
      </w:r>
      <w:r>
        <w:rPr>
          <w:rFonts w:hint="eastAsia" w:ascii="仿宋_GB2312" w:hAnsi="仿宋_GB2312" w:eastAsia="仿宋_GB2312" w:cs="仿宋_GB2312"/>
          <w:spacing w:val="5"/>
          <w:sz w:val="32"/>
          <w:szCs w:val="32"/>
          <w:lang w:val="en-US" w:eastAsia="zh-CN"/>
        </w:rPr>
        <w:t>熟悉</w:t>
      </w:r>
      <w:r>
        <w:rPr>
          <w:rFonts w:hint="eastAsia" w:ascii="仿宋_GB2312" w:hAnsi="仿宋_GB2312" w:eastAsia="仿宋_GB2312" w:cs="仿宋_GB2312"/>
          <w:spacing w:val="5"/>
          <w:sz w:val="32"/>
          <w:szCs w:val="32"/>
        </w:rPr>
        <w:t>事故致因理论及安全原理；</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3）了解现代安全生产管理的基本理念。</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5.2.2.2 安全生产管理组织与规章制度</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1）掌握安全生产管理机构设置与管理人员配置要求；</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2</w:t>
      </w:r>
      <w:r>
        <w:rPr>
          <w:rFonts w:hint="eastAsia" w:ascii="仿宋_GB2312" w:hAnsi="仿宋_GB2312" w:eastAsia="仿宋_GB2312" w:cs="仿宋_GB2312"/>
          <w:snapToGrid w:val="0"/>
          <w:kern w:val="0"/>
          <w:sz w:val="32"/>
          <w:szCs w:val="32"/>
        </w:rPr>
        <w:t>）</w:t>
      </w:r>
      <w:r>
        <w:rPr>
          <w:rFonts w:hint="eastAsia" w:ascii="仿宋_GB2312" w:hAnsi="仿宋_GB2312" w:eastAsia="仿宋_GB2312" w:cs="仿宋_GB2312"/>
          <w:spacing w:val="5"/>
          <w:sz w:val="32"/>
          <w:szCs w:val="32"/>
        </w:rPr>
        <w:t xml:space="preserve">掌握全员安全生产责任制的具体落实与考核方法； </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3）掌握安全生产规章制度体系的组成、安全操作规程的具体内容，以及制定、修订程序要求；</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4</w:t>
      </w:r>
      <w:r>
        <w:rPr>
          <w:rFonts w:hint="eastAsia" w:ascii="仿宋_GB2312" w:hAnsi="仿宋_GB2312" w:eastAsia="仿宋_GB2312" w:cs="仿宋_GB2312"/>
          <w:snapToGrid w:val="0"/>
          <w:kern w:val="0"/>
          <w:sz w:val="32"/>
          <w:szCs w:val="32"/>
        </w:rPr>
        <w:t>）</w:t>
      </w:r>
      <w:r>
        <w:rPr>
          <w:rFonts w:hint="eastAsia" w:ascii="仿宋_GB2312" w:hAnsi="仿宋_GB2312" w:eastAsia="仿宋_GB2312" w:cs="仿宋_GB2312"/>
          <w:spacing w:val="5"/>
          <w:sz w:val="32"/>
          <w:szCs w:val="32"/>
        </w:rPr>
        <w:t>熟悉相关方管理要求</w:t>
      </w:r>
      <w:r>
        <w:rPr>
          <w:rFonts w:hint="eastAsia" w:ascii="仿宋_GB2312" w:hAnsi="仿宋_GB2312" w:eastAsia="仿宋_GB2312" w:cs="仿宋_GB2312"/>
          <w:spacing w:val="5"/>
          <w:sz w:val="32"/>
          <w:szCs w:val="32"/>
          <w:highlight w:val="none"/>
          <w:lang w:eastAsia="zh-CN"/>
        </w:rPr>
        <w:t>，主要包括</w:t>
      </w:r>
      <w:r>
        <w:rPr>
          <w:rFonts w:hint="eastAsia" w:ascii="仿宋_GB2312" w:hAnsi="仿宋_GB2312" w:eastAsia="仿宋_GB2312" w:cs="仿宋_GB2312"/>
          <w:spacing w:val="5"/>
          <w:sz w:val="32"/>
          <w:szCs w:val="32"/>
          <w:highlight w:val="none"/>
          <w:lang w:val="en-US" w:eastAsia="zh-CN"/>
        </w:rPr>
        <w:t>发包、</w:t>
      </w:r>
      <w:r>
        <w:rPr>
          <w:rFonts w:hint="eastAsia" w:ascii="仿宋_GB2312" w:hAnsi="仿宋_GB2312" w:eastAsia="仿宋_GB2312" w:cs="仿宋_GB2312"/>
          <w:spacing w:val="5"/>
          <w:sz w:val="32"/>
          <w:szCs w:val="32"/>
          <w:highlight w:val="none"/>
          <w:lang w:eastAsia="zh-CN"/>
        </w:rPr>
        <w:t>承包、</w:t>
      </w:r>
      <w:r>
        <w:rPr>
          <w:rFonts w:hint="eastAsia" w:ascii="仿宋_GB2312" w:hAnsi="仿宋_GB2312" w:eastAsia="仿宋_GB2312" w:cs="仿宋_GB2312"/>
          <w:spacing w:val="5"/>
          <w:sz w:val="32"/>
          <w:szCs w:val="32"/>
          <w:highlight w:val="none"/>
          <w:lang w:val="en-US" w:eastAsia="zh-CN"/>
        </w:rPr>
        <w:t>租赁、委外作业、劳务派遣、学生实习等活动的</w:t>
      </w:r>
      <w:r>
        <w:rPr>
          <w:rFonts w:hint="eastAsia" w:ascii="仿宋_GB2312" w:hAnsi="仿宋_GB2312" w:eastAsia="仿宋_GB2312" w:cs="仿宋_GB2312"/>
          <w:spacing w:val="5"/>
          <w:sz w:val="32"/>
          <w:szCs w:val="32"/>
          <w:highlight w:val="none"/>
          <w:lang w:eastAsia="zh-CN"/>
        </w:rPr>
        <w:t>安全管理职责</w:t>
      </w:r>
      <w:r>
        <w:rPr>
          <w:rFonts w:hint="eastAsia" w:ascii="仿宋_GB2312" w:hAnsi="仿宋_GB2312" w:eastAsia="仿宋_GB2312" w:cs="仿宋_GB2312"/>
          <w:spacing w:val="5"/>
          <w:sz w:val="32"/>
          <w:szCs w:val="32"/>
          <w:highlight w:val="none"/>
        </w:rPr>
        <w:t>。</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5.2.2.3 安全生产资源保障</w:t>
      </w:r>
    </w:p>
    <w:p>
      <w:pPr>
        <w:keepNext w:val="0"/>
        <w:keepLines w:val="0"/>
        <w:pageBreakBefore w:val="0"/>
        <w:widowControl w:val="0"/>
        <w:wordWrap/>
        <w:overflowPunct/>
        <w:topLinePunct w:val="0"/>
        <w:bidi w:val="0"/>
        <w:spacing w:line="560" w:lineRule="exact"/>
        <w:ind w:firstLine="660" w:firstLineChars="200"/>
        <w:rPr>
          <w:rFonts w:hint="default" w:ascii="仿宋_GB2312" w:hAnsi="仿宋_GB2312" w:eastAsia="仿宋_GB2312" w:cs="仿宋_GB2312"/>
          <w:spacing w:val="5"/>
          <w:sz w:val="32"/>
          <w:szCs w:val="32"/>
          <w:lang w:val="en-US"/>
        </w:rPr>
      </w:pPr>
      <w:r>
        <w:rPr>
          <w:rFonts w:hint="eastAsia" w:ascii="仿宋_GB2312" w:hAnsi="仿宋_GB2312" w:eastAsia="仿宋_GB2312" w:cs="仿宋_GB2312"/>
          <w:spacing w:val="5"/>
          <w:sz w:val="32"/>
          <w:szCs w:val="32"/>
        </w:rPr>
        <w:t>1）掌握安全生产</w:t>
      </w:r>
      <w:r>
        <w:rPr>
          <w:rFonts w:hint="eastAsia" w:ascii="仿宋_GB2312" w:hAnsi="仿宋_GB2312" w:eastAsia="仿宋_GB2312" w:cs="仿宋_GB2312"/>
          <w:spacing w:val="5"/>
          <w:sz w:val="32"/>
          <w:szCs w:val="32"/>
          <w:lang w:val="en-US" w:eastAsia="zh-CN"/>
        </w:rPr>
        <w:t>法律法规有关安全生产</w:t>
      </w:r>
      <w:r>
        <w:rPr>
          <w:rFonts w:hint="eastAsia" w:ascii="仿宋_GB2312" w:hAnsi="仿宋_GB2312" w:eastAsia="仿宋_GB2312" w:cs="仿宋_GB2312"/>
          <w:spacing w:val="5"/>
          <w:sz w:val="32"/>
          <w:szCs w:val="32"/>
        </w:rPr>
        <w:t>投入</w:t>
      </w:r>
      <w:r>
        <w:rPr>
          <w:rFonts w:hint="eastAsia" w:ascii="仿宋_GB2312" w:hAnsi="仿宋_GB2312" w:eastAsia="仿宋_GB2312" w:cs="仿宋_GB2312"/>
          <w:spacing w:val="5"/>
          <w:sz w:val="32"/>
          <w:szCs w:val="32"/>
          <w:lang w:val="en-US" w:eastAsia="zh-CN"/>
        </w:rPr>
        <w:t>规定，包括分析企业安全生产投入需求，编制企业安全生产费用提取、使用和管理计划等；</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2）熟悉建设项目安全设施“三同时”基本概念及要求；</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3）</w:t>
      </w:r>
      <w:r>
        <w:rPr>
          <w:rFonts w:hint="eastAsia" w:ascii="仿宋_GB2312" w:hAnsi="仿宋_GB2312" w:eastAsia="仿宋_GB2312" w:cs="仿宋_GB2312"/>
          <w:spacing w:val="5"/>
          <w:sz w:val="32"/>
          <w:szCs w:val="32"/>
          <w:highlight w:val="none"/>
        </w:rPr>
        <w:t>熟悉</w:t>
      </w:r>
      <w:r>
        <w:rPr>
          <w:rFonts w:hint="eastAsia" w:ascii="仿宋_GB2312" w:hAnsi="仿宋_GB2312" w:eastAsia="仿宋_GB2312" w:cs="仿宋_GB2312"/>
          <w:spacing w:val="5"/>
          <w:sz w:val="32"/>
          <w:szCs w:val="32"/>
          <w:highlight w:val="none"/>
          <w:lang w:eastAsia="zh-CN"/>
        </w:rPr>
        <w:t>个体防护装备的配备、使用及维护保养等</w:t>
      </w:r>
      <w:r>
        <w:rPr>
          <w:rFonts w:hint="eastAsia" w:ascii="仿宋_GB2312" w:hAnsi="仿宋_GB2312" w:eastAsia="仿宋_GB2312" w:cs="仿宋_GB2312"/>
          <w:spacing w:val="5"/>
          <w:sz w:val="32"/>
          <w:szCs w:val="32"/>
          <w:highlight w:val="none"/>
        </w:rPr>
        <w:t>要求；</w:t>
      </w:r>
    </w:p>
    <w:p>
      <w:pPr>
        <w:keepNext w:val="0"/>
        <w:keepLines w:val="0"/>
        <w:pageBreakBefore w:val="0"/>
        <w:widowControl w:val="0"/>
        <w:wordWrap/>
        <w:overflowPunct/>
        <w:topLinePunct w:val="0"/>
        <w:bidi w:val="0"/>
        <w:spacing w:line="560" w:lineRule="exact"/>
        <w:ind w:firstLine="660" w:firstLineChars="200"/>
        <w:rPr>
          <w:rFonts w:hint="default"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rPr>
        <w:t>4）</w:t>
      </w:r>
      <w:r>
        <w:rPr>
          <w:rFonts w:hint="eastAsia" w:ascii="仿宋_GB2312" w:hAnsi="仿宋_GB2312" w:eastAsia="仿宋_GB2312" w:cs="仿宋_GB2312"/>
          <w:spacing w:val="5"/>
          <w:sz w:val="32"/>
          <w:szCs w:val="32"/>
          <w:lang w:val="en-US" w:eastAsia="zh-CN"/>
        </w:rPr>
        <w:t>熟悉</w:t>
      </w:r>
      <w:r>
        <w:rPr>
          <w:rFonts w:hint="eastAsia" w:ascii="仿宋_GB2312" w:hAnsi="仿宋_GB2312" w:eastAsia="仿宋_GB2312" w:cs="仿宋_GB2312"/>
          <w:spacing w:val="5"/>
          <w:sz w:val="32"/>
          <w:szCs w:val="32"/>
        </w:rPr>
        <w:t>工伤保险</w:t>
      </w:r>
      <w:r>
        <w:rPr>
          <w:rFonts w:hint="eastAsia" w:ascii="仿宋_GB2312" w:hAnsi="仿宋_GB2312" w:eastAsia="仿宋_GB2312" w:cs="仿宋_GB2312"/>
          <w:spacing w:val="5"/>
          <w:sz w:val="32"/>
          <w:szCs w:val="32"/>
          <w:lang w:val="en-US" w:eastAsia="zh-CN"/>
        </w:rPr>
        <w:t>费缴纳、工伤认定、劳动能力鉴定和工伤人员工伤保险待遇、违法行为、法律责任等有关规定，了解安全生产责任保险投保与承保、事故预防服务等有关规定。</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lang w:val="en-US" w:eastAsia="zh-CN"/>
        </w:rPr>
        <w:t>5）熟悉女职工禁忌从事的劳动范围、孕产期从业等方面规定，以及违法行为和法律责任等</w:t>
      </w:r>
      <w:r>
        <w:rPr>
          <w:rFonts w:hint="eastAsia" w:ascii="仿宋_GB2312" w:hAnsi="仿宋_GB2312" w:eastAsia="仿宋_GB2312" w:cs="仿宋_GB2312"/>
          <w:spacing w:val="5"/>
          <w:sz w:val="32"/>
          <w:szCs w:val="32"/>
        </w:rPr>
        <w:t>。</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5.2.2.4 安全生产能力建设</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lang w:eastAsia="zh-CN"/>
        </w:rPr>
      </w:pPr>
      <w:r>
        <w:rPr>
          <w:rFonts w:hint="eastAsia" w:ascii="仿宋_GB2312" w:hAnsi="仿宋_GB2312" w:eastAsia="仿宋_GB2312" w:cs="仿宋_GB2312"/>
          <w:spacing w:val="5"/>
          <w:sz w:val="32"/>
          <w:szCs w:val="32"/>
        </w:rPr>
        <w:t>1）熟悉法律法规对主要负责人、安全生产管理人员、特种作业人</w:t>
      </w:r>
      <w:r>
        <w:rPr>
          <w:rFonts w:hint="eastAsia" w:ascii="仿宋_GB2312" w:hAnsi="仿宋_GB2312" w:eastAsia="仿宋_GB2312" w:cs="仿宋_GB2312"/>
          <w:spacing w:val="5"/>
          <w:sz w:val="32"/>
          <w:szCs w:val="32"/>
          <w:highlight w:val="none"/>
        </w:rPr>
        <w:t>员</w:t>
      </w:r>
      <w:r>
        <w:rPr>
          <w:rFonts w:hint="eastAsia" w:ascii="仿宋_GB2312" w:hAnsi="仿宋_GB2312" w:eastAsia="仿宋_GB2312" w:cs="仿宋_GB2312"/>
          <w:snapToGrid w:val="0"/>
          <w:color w:val="000000"/>
          <w:spacing w:val="5"/>
          <w:sz w:val="32"/>
          <w:szCs w:val="32"/>
          <w:highlight w:val="none"/>
        </w:rPr>
        <w:t>、其他从业人员（含被派遣劳动者、实习人员</w:t>
      </w:r>
      <w:r>
        <w:rPr>
          <w:rFonts w:hint="eastAsia" w:ascii="仿宋_GB2312" w:hAnsi="仿宋_GB2312" w:eastAsia="仿宋_GB2312" w:cs="仿宋_GB2312"/>
          <w:snapToGrid w:val="0"/>
          <w:color w:val="000000"/>
          <w:spacing w:val="5"/>
          <w:sz w:val="32"/>
          <w:szCs w:val="32"/>
          <w:highlight w:val="none"/>
          <w:lang w:eastAsia="zh-CN"/>
        </w:rPr>
        <w:t>，以及</w:t>
      </w:r>
      <w:r>
        <w:rPr>
          <w:rFonts w:hint="eastAsia" w:ascii="仿宋_GB2312" w:hAnsi="仿宋_GB2312" w:eastAsia="仿宋_GB2312" w:cs="仿宋_GB2312"/>
          <w:snapToGrid w:val="0"/>
          <w:spacing w:val="5"/>
          <w:kern w:val="0"/>
          <w:sz w:val="32"/>
          <w:szCs w:val="32"/>
        </w:rPr>
        <w:t>离岗六个月以上或换岗的重新上岗</w:t>
      </w:r>
      <w:r>
        <w:rPr>
          <w:rFonts w:hint="eastAsia" w:ascii="仿宋_GB2312" w:hAnsi="仿宋_GB2312" w:eastAsia="仿宋_GB2312" w:cs="仿宋_GB2312"/>
          <w:snapToGrid w:val="0"/>
          <w:spacing w:val="5"/>
          <w:kern w:val="0"/>
          <w:sz w:val="32"/>
          <w:szCs w:val="32"/>
          <w:lang w:eastAsia="zh-CN"/>
        </w:rPr>
        <w:t>人员</w:t>
      </w:r>
      <w:r>
        <w:rPr>
          <w:rFonts w:hint="eastAsia" w:ascii="仿宋_GB2312" w:hAnsi="仿宋_GB2312" w:eastAsia="仿宋_GB2312" w:cs="仿宋_GB2312"/>
          <w:snapToGrid w:val="0"/>
          <w:color w:val="000000"/>
          <w:spacing w:val="5"/>
          <w:sz w:val="32"/>
          <w:szCs w:val="32"/>
          <w:highlight w:val="none"/>
        </w:rPr>
        <w:t>等）</w:t>
      </w:r>
      <w:r>
        <w:rPr>
          <w:rFonts w:hint="eastAsia" w:ascii="仿宋_GB2312" w:hAnsi="仿宋_GB2312" w:eastAsia="仿宋_GB2312" w:cs="仿宋_GB2312"/>
          <w:spacing w:val="5"/>
          <w:sz w:val="32"/>
          <w:szCs w:val="32"/>
        </w:rPr>
        <w:t>的培训要</w:t>
      </w:r>
      <w:r>
        <w:rPr>
          <w:rFonts w:hint="eastAsia" w:ascii="仿宋_GB2312" w:hAnsi="仿宋_GB2312" w:eastAsia="仿宋_GB2312" w:cs="仿宋_GB2312"/>
          <w:spacing w:val="5"/>
          <w:sz w:val="32"/>
          <w:szCs w:val="32"/>
          <w:highlight w:val="none"/>
        </w:rPr>
        <w:t>求</w:t>
      </w:r>
      <w:r>
        <w:rPr>
          <w:rFonts w:hint="eastAsia" w:ascii="仿宋_GB2312" w:hAnsi="仿宋_GB2312" w:eastAsia="仿宋_GB2312" w:cs="仿宋_GB2312"/>
          <w:spacing w:val="5"/>
          <w:sz w:val="32"/>
          <w:szCs w:val="32"/>
          <w:highlight w:val="none"/>
          <w:lang w:val="en-US" w:eastAsia="zh-CN"/>
        </w:rPr>
        <w:t>等</w:t>
      </w:r>
      <w:r>
        <w:rPr>
          <w:rFonts w:hint="eastAsia" w:ascii="仿宋_GB2312" w:hAnsi="仿宋_GB2312" w:eastAsia="仿宋_GB2312" w:cs="仿宋_GB2312"/>
          <w:spacing w:val="5"/>
          <w:sz w:val="32"/>
          <w:szCs w:val="32"/>
          <w:highlight w:val="none"/>
          <w:lang w:eastAsia="zh-CN"/>
        </w:rPr>
        <w:t>；</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lang w:val="en-US" w:eastAsia="zh-CN"/>
        </w:rPr>
        <w:t>2）</w:t>
      </w:r>
      <w:r>
        <w:rPr>
          <w:rFonts w:hint="eastAsia" w:ascii="仿宋_GB2312" w:hAnsi="仿宋_GB2312" w:eastAsia="仿宋_GB2312" w:cs="仿宋_GB2312"/>
          <w:spacing w:val="5"/>
          <w:sz w:val="32"/>
          <w:szCs w:val="32"/>
        </w:rPr>
        <w:t>掌握安全教育培训计划的</w:t>
      </w:r>
      <w:r>
        <w:rPr>
          <w:rFonts w:hint="eastAsia" w:ascii="仿宋_GB2312" w:hAnsi="仿宋_GB2312" w:eastAsia="仿宋_GB2312" w:cs="仿宋_GB2312"/>
          <w:spacing w:val="5"/>
          <w:sz w:val="32"/>
          <w:szCs w:val="32"/>
          <w:lang w:val="en-US" w:eastAsia="zh-CN"/>
        </w:rPr>
        <w:t>组织</w:t>
      </w:r>
      <w:r>
        <w:rPr>
          <w:rFonts w:hint="eastAsia" w:ascii="仿宋_GB2312" w:hAnsi="仿宋_GB2312" w:eastAsia="仿宋_GB2312" w:cs="仿宋_GB2312"/>
          <w:spacing w:val="5"/>
          <w:sz w:val="32"/>
          <w:szCs w:val="32"/>
        </w:rPr>
        <w:t>制定与实施</w:t>
      </w:r>
      <w:r>
        <w:rPr>
          <w:rFonts w:hint="eastAsia" w:ascii="仿宋_GB2312" w:hAnsi="仿宋_GB2312" w:eastAsia="仿宋_GB2312" w:cs="仿宋_GB2312"/>
          <w:spacing w:val="5"/>
          <w:sz w:val="32"/>
          <w:szCs w:val="32"/>
          <w:lang w:val="en-US" w:eastAsia="zh-CN"/>
        </w:rPr>
        <w:t>程序，包括安全生产教育培训需求分析、方案制定和效果评估等</w:t>
      </w:r>
      <w:r>
        <w:rPr>
          <w:rFonts w:hint="eastAsia" w:ascii="仿宋_GB2312" w:hAnsi="仿宋_GB2312" w:eastAsia="仿宋_GB2312" w:cs="仿宋_GB2312"/>
          <w:spacing w:val="5"/>
          <w:sz w:val="32"/>
          <w:szCs w:val="32"/>
        </w:rPr>
        <w:t>；</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lang w:val="en-US" w:eastAsia="zh-CN"/>
        </w:rPr>
        <w:t>3</w:t>
      </w:r>
      <w:r>
        <w:rPr>
          <w:rFonts w:hint="eastAsia" w:ascii="仿宋_GB2312" w:hAnsi="仿宋_GB2312" w:eastAsia="仿宋_GB2312" w:cs="仿宋_GB2312"/>
          <w:spacing w:val="5"/>
          <w:sz w:val="32"/>
          <w:szCs w:val="32"/>
        </w:rPr>
        <w:t>）</w:t>
      </w:r>
      <w:r>
        <w:rPr>
          <w:rFonts w:hint="eastAsia" w:ascii="仿宋_GB2312" w:hAnsi="仿宋_GB2312" w:eastAsia="仿宋_GB2312" w:cs="仿宋_GB2312"/>
          <w:spacing w:val="5"/>
          <w:sz w:val="32"/>
          <w:szCs w:val="32"/>
          <w:lang w:val="en-US" w:eastAsia="zh-CN"/>
        </w:rPr>
        <w:t>熟悉企业</w:t>
      </w:r>
      <w:r>
        <w:rPr>
          <w:rFonts w:hint="eastAsia" w:ascii="仿宋_GB2312" w:hAnsi="仿宋_GB2312" w:eastAsia="仿宋_GB2312" w:cs="仿宋_GB2312"/>
          <w:spacing w:val="5"/>
          <w:sz w:val="32"/>
          <w:szCs w:val="32"/>
        </w:rPr>
        <w:t>安全文化的</w:t>
      </w:r>
      <w:r>
        <w:rPr>
          <w:rFonts w:hint="eastAsia" w:ascii="仿宋_GB2312" w:hAnsi="仿宋_GB2312" w:eastAsia="仿宋_GB2312" w:cs="仿宋_GB2312"/>
          <w:spacing w:val="5"/>
          <w:sz w:val="32"/>
          <w:szCs w:val="32"/>
          <w:lang w:val="en-US" w:eastAsia="zh-CN"/>
        </w:rPr>
        <w:t>基本要素和</w:t>
      </w:r>
      <w:r>
        <w:rPr>
          <w:rFonts w:hint="eastAsia" w:ascii="仿宋_GB2312" w:hAnsi="仿宋_GB2312" w:eastAsia="仿宋_GB2312" w:cs="仿宋_GB2312"/>
          <w:spacing w:val="5"/>
          <w:sz w:val="32"/>
          <w:szCs w:val="32"/>
        </w:rPr>
        <w:t>建设</w:t>
      </w:r>
      <w:r>
        <w:rPr>
          <w:rFonts w:hint="eastAsia" w:ascii="仿宋_GB2312" w:hAnsi="仿宋_GB2312" w:eastAsia="仿宋_GB2312" w:cs="仿宋_GB2312"/>
          <w:spacing w:val="5"/>
          <w:sz w:val="32"/>
          <w:szCs w:val="32"/>
          <w:lang w:val="en-US" w:eastAsia="zh-CN"/>
        </w:rPr>
        <w:t>操作步骤</w:t>
      </w:r>
      <w:r>
        <w:rPr>
          <w:rFonts w:hint="eastAsia" w:ascii="仿宋_GB2312" w:hAnsi="仿宋_GB2312" w:eastAsia="仿宋_GB2312" w:cs="仿宋_GB2312"/>
          <w:spacing w:val="5"/>
          <w:sz w:val="32"/>
          <w:szCs w:val="32"/>
        </w:rPr>
        <w:t>；</w:t>
      </w:r>
    </w:p>
    <w:p>
      <w:pPr>
        <w:keepNext w:val="0"/>
        <w:keepLines w:val="0"/>
        <w:pageBreakBefore w:val="0"/>
        <w:widowControl w:val="0"/>
        <w:wordWrap/>
        <w:overflowPunct/>
        <w:topLinePunct w:val="0"/>
        <w:bidi w:val="0"/>
        <w:spacing w:line="560" w:lineRule="exact"/>
        <w:ind w:firstLine="660" w:firstLineChars="200"/>
        <w:rPr>
          <w:rFonts w:hint="default"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4</w:t>
      </w:r>
      <w:r>
        <w:rPr>
          <w:rFonts w:hint="eastAsia" w:ascii="仿宋_GB2312" w:hAnsi="仿宋_GB2312" w:eastAsia="仿宋_GB2312" w:cs="仿宋_GB2312"/>
          <w:spacing w:val="5"/>
          <w:sz w:val="32"/>
          <w:szCs w:val="32"/>
        </w:rPr>
        <w:t>）</w:t>
      </w:r>
      <w:r>
        <w:rPr>
          <w:rFonts w:hint="eastAsia" w:ascii="仿宋_GB2312" w:hAnsi="仿宋_GB2312" w:eastAsia="仿宋_GB2312" w:cs="仿宋_GB2312"/>
          <w:spacing w:val="5"/>
          <w:sz w:val="32"/>
          <w:szCs w:val="32"/>
          <w:highlight w:val="none"/>
          <w:lang w:val="en-US" w:eastAsia="zh-CN"/>
        </w:rPr>
        <w:t>熟悉企业</w:t>
      </w:r>
      <w:r>
        <w:rPr>
          <w:rFonts w:hint="eastAsia" w:ascii="仿宋_GB2312" w:hAnsi="仿宋_GB2312" w:eastAsia="仿宋_GB2312" w:cs="仿宋_GB2312"/>
          <w:spacing w:val="5"/>
          <w:sz w:val="32"/>
          <w:szCs w:val="32"/>
          <w:highlight w:val="none"/>
        </w:rPr>
        <w:t>安全生产标准化建设</w:t>
      </w:r>
      <w:r>
        <w:rPr>
          <w:rFonts w:hint="eastAsia" w:ascii="仿宋_GB2312" w:hAnsi="仿宋_GB2312" w:eastAsia="仿宋_GB2312" w:cs="仿宋_GB2312"/>
          <w:spacing w:val="5"/>
          <w:sz w:val="32"/>
          <w:szCs w:val="32"/>
          <w:highlight w:val="none"/>
          <w:lang w:val="en-US" w:eastAsia="zh-CN"/>
        </w:rPr>
        <w:t>内容及定级管理有关规定，</w:t>
      </w:r>
      <w:r>
        <w:rPr>
          <w:rFonts w:hint="eastAsia" w:ascii="仿宋_GB2312" w:hAnsi="仿宋_GB2312" w:eastAsia="仿宋_GB2312" w:cs="仿宋_GB2312"/>
          <w:spacing w:val="5"/>
          <w:sz w:val="32"/>
          <w:szCs w:val="32"/>
          <w:highlight w:val="none"/>
        </w:rPr>
        <w:t>包括</w:t>
      </w:r>
      <w:r>
        <w:rPr>
          <w:rFonts w:hint="eastAsia" w:ascii="仿宋_GB2312" w:hAnsi="仿宋_GB2312" w:eastAsia="仿宋_GB2312" w:cs="仿宋_GB2312"/>
          <w:spacing w:val="5"/>
          <w:sz w:val="32"/>
          <w:szCs w:val="32"/>
          <w:highlight w:val="none"/>
          <w:lang w:val="en-US" w:eastAsia="zh-CN"/>
        </w:rPr>
        <w:t>企业安全生产标准化管理体系建立、保持与评定的原则和一般要求，以及目标职责、制度化管理、教育培训、现场管理、安全风险管控及隐患排查治理、应急管理、事故管理和持续改进等核心技术要求。</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 xml:space="preserve">5.2.2.5 </w:t>
      </w:r>
      <w:r>
        <w:rPr>
          <w:rFonts w:hint="eastAsia" w:ascii="仿宋_GB2312" w:hAnsi="仿宋_GB2312" w:eastAsia="仿宋_GB2312" w:cs="仿宋_GB2312"/>
          <w:spacing w:val="5"/>
          <w:sz w:val="32"/>
          <w:szCs w:val="32"/>
          <w:lang w:val="en-US" w:eastAsia="zh-CN"/>
        </w:rPr>
        <w:t>企业双重预防机制建设</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1）</w:t>
      </w:r>
      <w:r>
        <w:rPr>
          <w:rFonts w:hint="eastAsia" w:ascii="仿宋_GB2312" w:hAnsi="仿宋_GB2312" w:eastAsia="仿宋_GB2312" w:cs="仿宋_GB2312"/>
          <w:spacing w:val="5"/>
          <w:sz w:val="32"/>
          <w:szCs w:val="32"/>
          <w:lang w:val="en-US" w:eastAsia="zh-CN"/>
        </w:rPr>
        <w:t>了解</w:t>
      </w:r>
      <w:r>
        <w:rPr>
          <w:rFonts w:hint="eastAsia" w:ascii="仿宋_GB2312" w:hAnsi="仿宋_GB2312" w:eastAsia="仿宋_GB2312" w:cs="仿宋_GB2312"/>
          <w:spacing w:val="5"/>
          <w:sz w:val="32"/>
          <w:szCs w:val="32"/>
        </w:rPr>
        <w:t>双重预防机制建设</w:t>
      </w:r>
      <w:r>
        <w:rPr>
          <w:rFonts w:hint="eastAsia" w:ascii="仿宋_GB2312" w:hAnsi="仿宋_GB2312" w:eastAsia="仿宋_GB2312" w:cs="仿宋_GB2312"/>
          <w:spacing w:val="5"/>
          <w:sz w:val="32"/>
          <w:szCs w:val="32"/>
          <w:lang w:val="en-US" w:eastAsia="zh-CN"/>
        </w:rPr>
        <w:t>目的意义</w:t>
      </w:r>
      <w:r>
        <w:rPr>
          <w:rFonts w:hint="eastAsia" w:ascii="仿宋_GB2312" w:hAnsi="仿宋_GB2312" w:eastAsia="仿宋_GB2312" w:cs="仿宋_GB2312"/>
          <w:spacing w:val="5"/>
          <w:sz w:val="32"/>
          <w:szCs w:val="32"/>
        </w:rPr>
        <w:t>；</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2）掌握</w:t>
      </w:r>
      <w:r>
        <w:rPr>
          <w:rFonts w:hint="eastAsia" w:ascii="仿宋_GB2312" w:hAnsi="仿宋_GB2312" w:eastAsia="仿宋_GB2312" w:cs="仿宋_GB2312"/>
          <w:spacing w:val="5"/>
          <w:sz w:val="32"/>
          <w:szCs w:val="32"/>
          <w:lang w:val="en-US" w:eastAsia="zh-CN"/>
        </w:rPr>
        <w:t>危险源辨识、安全风险评估及</w:t>
      </w:r>
      <w:r>
        <w:rPr>
          <w:rFonts w:hint="eastAsia" w:ascii="仿宋_GB2312" w:hAnsi="仿宋_GB2312" w:eastAsia="仿宋_GB2312" w:cs="仿宋_GB2312"/>
          <w:spacing w:val="5"/>
          <w:sz w:val="32"/>
          <w:szCs w:val="32"/>
        </w:rPr>
        <w:t>分级管控要求；</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3）</w:t>
      </w:r>
      <w:r>
        <w:rPr>
          <w:rFonts w:hint="eastAsia" w:ascii="仿宋_GB2312" w:hAnsi="仿宋_GB2312" w:eastAsia="仿宋_GB2312" w:cs="仿宋_GB2312"/>
          <w:spacing w:val="5"/>
          <w:sz w:val="32"/>
          <w:szCs w:val="32"/>
          <w:lang w:val="en-US" w:eastAsia="zh-CN"/>
        </w:rPr>
        <w:t>掌握一般事故隐患、重大事故隐患分类及隐患报告和治理要求；</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4）</w:t>
      </w:r>
      <w:r>
        <w:rPr>
          <w:rFonts w:hint="eastAsia" w:ascii="仿宋_GB2312" w:hAnsi="仿宋_GB2312" w:eastAsia="仿宋_GB2312" w:cs="仿宋_GB2312"/>
          <w:spacing w:val="5"/>
          <w:sz w:val="32"/>
          <w:szCs w:val="32"/>
          <w:lang w:val="en-US" w:eastAsia="zh-CN"/>
        </w:rPr>
        <w:t>掌握安全生产检查类型、内容、方法、工作程序。</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5.2.2.6 设备设施与作业安全管理</w:t>
      </w:r>
    </w:p>
    <w:p>
      <w:pPr>
        <w:keepNext w:val="0"/>
        <w:keepLines w:val="0"/>
        <w:pageBreakBefore w:val="0"/>
        <w:widowControl w:val="0"/>
        <w:wordWrap/>
        <w:overflowPunct/>
        <w:topLinePunct w:val="0"/>
        <w:bidi w:val="0"/>
        <w:spacing w:line="560" w:lineRule="exact"/>
        <w:ind w:firstLine="660" w:firstLineChars="200"/>
        <w:rPr>
          <w:rFonts w:hint="default"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rPr>
        <w:t>1）</w:t>
      </w:r>
      <w:r>
        <w:rPr>
          <w:rFonts w:hint="eastAsia" w:ascii="仿宋_GB2312" w:hAnsi="仿宋_GB2312" w:eastAsia="仿宋_GB2312" w:cs="仿宋_GB2312"/>
          <w:spacing w:val="5"/>
          <w:sz w:val="32"/>
          <w:szCs w:val="32"/>
          <w:lang w:val="en-US" w:eastAsia="zh-CN"/>
        </w:rPr>
        <w:t>熟悉安全设施分类及配备、维护、保养、检修等要求；</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lang w:val="en-US" w:eastAsia="zh-CN"/>
        </w:rPr>
        <w:t>2）熟悉特种设备种类，以及使用登记、检维修、检验、改造、停用、报废等管理要求；</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lang w:val="en-US" w:eastAsia="zh-CN"/>
        </w:rPr>
        <w:t>3）熟悉作业现场环境的危险和有害因素分类，一般作业现场环境布设要点</w:t>
      </w:r>
      <w:r>
        <w:rPr>
          <w:rFonts w:hint="eastAsia" w:ascii="仿宋_GB2312" w:hAnsi="仿宋_GB2312" w:eastAsia="仿宋_GB2312" w:cs="仿宋_GB2312"/>
          <w:spacing w:val="5"/>
          <w:sz w:val="32"/>
          <w:szCs w:val="32"/>
        </w:rPr>
        <w:t>；</w:t>
      </w:r>
    </w:p>
    <w:p>
      <w:pPr>
        <w:keepNext w:val="0"/>
        <w:keepLines w:val="0"/>
        <w:pageBreakBefore w:val="0"/>
        <w:widowControl w:val="0"/>
        <w:wordWrap/>
        <w:overflowPunct/>
        <w:topLinePunct w:val="0"/>
        <w:bidi w:val="0"/>
        <w:spacing w:line="560" w:lineRule="exact"/>
        <w:ind w:firstLine="660" w:firstLineChars="200"/>
        <w:rPr>
          <w:rFonts w:hint="default"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rPr>
        <w:t>4）</w:t>
      </w:r>
      <w:r>
        <w:rPr>
          <w:rFonts w:hint="eastAsia" w:ascii="仿宋_GB2312" w:hAnsi="仿宋_GB2312" w:eastAsia="仿宋_GB2312" w:cs="仿宋_GB2312"/>
          <w:spacing w:val="5"/>
          <w:sz w:val="32"/>
          <w:szCs w:val="32"/>
          <w:lang w:val="en-US" w:eastAsia="zh-CN"/>
        </w:rPr>
        <w:t>熟悉安全标志、光照条件、噪声、温度、湿度、空气质量等管理要求；</w:t>
      </w:r>
    </w:p>
    <w:p>
      <w:pPr>
        <w:spacing w:line="560" w:lineRule="exact"/>
        <w:ind w:firstLine="660" w:firstLineChars="200"/>
        <w:rPr>
          <w:rFonts w:hint="eastAsia" w:ascii="仿宋_GB2312" w:hAnsi="仿宋_GB2312" w:eastAsia="仿宋_GB2312" w:cs="仿宋_GB2312"/>
          <w:spacing w:val="5"/>
          <w:sz w:val="32"/>
          <w:szCs w:val="32"/>
          <w:lang w:eastAsia="zh-CN"/>
        </w:rPr>
      </w:pPr>
      <w:r>
        <w:rPr>
          <w:rFonts w:hint="eastAsia" w:ascii="仿宋_GB2312" w:hAnsi="仿宋_GB2312" w:eastAsia="仿宋_GB2312" w:cs="仿宋_GB2312"/>
          <w:spacing w:val="5"/>
          <w:sz w:val="32"/>
          <w:szCs w:val="32"/>
          <w:lang w:val="en-US" w:eastAsia="zh-CN"/>
        </w:rPr>
        <w:t>5）</w:t>
      </w:r>
      <w:r>
        <w:rPr>
          <w:rFonts w:hint="eastAsia" w:ascii="仿宋_GB2312" w:hAnsi="仿宋_GB2312" w:eastAsia="仿宋_GB2312" w:cs="仿宋_GB2312"/>
          <w:spacing w:val="5"/>
          <w:sz w:val="32"/>
          <w:szCs w:val="32"/>
          <w:highlight w:val="none"/>
          <w:lang w:val="en-US" w:eastAsia="zh-CN"/>
        </w:rPr>
        <w:t>掌握危险作业种类和安全管理通用要求，</w:t>
      </w:r>
      <w:r>
        <w:rPr>
          <w:rFonts w:hint="eastAsia" w:ascii="仿宋_GB2312" w:hAnsi="仿宋_GB2312" w:eastAsia="仿宋_GB2312" w:cs="仿宋_GB2312"/>
          <w:bCs/>
          <w:color w:val="auto"/>
          <w:sz w:val="32"/>
          <w:szCs w:val="32"/>
          <w:highlight w:val="none"/>
          <w:lang w:val="en-US" w:eastAsia="zh-CN"/>
        </w:rPr>
        <w:t>能够辨识爆破、吊装、动火、高处、受限（</w:t>
      </w:r>
      <w:r>
        <w:rPr>
          <w:rFonts w:hint="eastAsia" w:ascii="仿宋_GB2312" w:hAnsi="仿宋_GB2312" w:eastAsia="仿宋_GB2312" w:cs="仿宋_GB2312"/>
          <w:bCs/>
          <w:color w:val="auto"/>
          <w:sz w:val="32"/>
          <w:szCs w:val="32"/>
          <w:highlight w:val="none"/>
          <w:lang w:eastAsia="zh-CN"/>
        </w:rPr>
        <w:t>有限）空间、</w:t>
      </w:r>
      <w:r>
        <w:rPr>
          <w:rFonts w:hint="eastAsia" w:ascii="仿宋_GB2312" w:hAnsi="仿宋_GB2312" w:eastAsia="仿宋_GB2312" w:cs="仿宋_GB2312"/>
          <w:bCs/>
          <w:color w:val="auto"/>
          <w:sz w:val="32"/>
          <w:szCs w:val="32"/>
          <w:highlight w:val="none"/>
          <w:lang w:val="en-US" w:eastAsia="zh-CN"/>
        </w:rPr>
        <w:t>临时用电等作业存在的危险、有害因素，制定相应安全管理、技术措施。</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5.2.2.7 应急管理与灾害事故处理</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1）熟悉事故应急救援的基本任务与处置流程；</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 xml:space="preserve">2）掌握应急预案的编制程序、框架内容与应急演练的组织实施； </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lang w:val="en-US" w:eastAsia="zh-CN"/>
        </w:rPr>
        <w:t>3</w:t>
      </w:r>
      <w:r>
        <w:rPr>
          <w:rFonts w:hint="eastAsia" w:ascii="仿宋_GB2312" w:hAnsi="仿宋_GB2312" w:eastAsia="仿宋_GB2312" w:cs="仿宋_GB2312"/>
          <w:snapToGrid w:val="0"/>
          <w:kern w:val="0"/>
          <w:sz w:val="32"/>
          <w:szCs w:val="32"/>
        </w:rPr>
        <w:t>）</w:t>
      </w:r>
      <w:r>
        <w:rPr>
          <w:rFonts w:hint="eastAsia" w:ascii="仿宋_GB2312" w:hAnsi="仿宋_GB2312" w:eastAsia="仿宋_GB2312" w:cs="仿宋_GB2312"/>
          <w:snapToGrid w:val="0"/>
          <w:kern w:val="0"/>
          <w:sz w:val="32"/>
          <w:szCs w:val="32"/>
          <w:lang w:val="en-US" w:eastAsia="zh-CN"/>
        </w:rPr>
        <w:t>掌握</w:t>
      </w:r>
      <w:r>
        <w:rPr>
          <w:rFonts w:hint="eastAsia" w:ascii="仿宋_GB2312" w:hAnsi="仿宋_GB2312" w:eastAsia="仿宋_GB2312" w:cs="仿宋_GB2312"/>
          <w:spacing w:val="5"/>
          <w:sz w:val="32"/>
          <w:szCs w:val="32"/>
        </w:rPr>
        <w:t>生产安全事故</w:t>
      </w:r>
      <w:r>
        <w:rPr>
          <w:rFonts w:hint="eastAsia" w:ascii="仿宋_GB2312" w:hAnsi="仿宋_GB2312" w:eastAsia="仿宋_GB2312" w:cs="仿宋_GB2312"/>
          <w:spacing w:val="5"/>
          <w:sz w:val="32"/>
          <w:szCs w:val="32"/>
          <w:lang w:val="en-US" w:eastAsia="zh-CN"/>
        </w:rPr>
        <w:t>分级分类，事故</w:t>
      </w:r>
      <w:r>
        <w:rPr>
          <w:rFonts w:hint="eastAsia" w:ascii="仿宋_GB2312" w:hAnsi="仿宋_GB2312" w:eastAsia="仿宋_GB2312" w:cs="仿宋_GB2312"/>
          <w:spacing w:val="5"/>
          <w:sz w:val="32"/>
          <w:szCs w:val="32"/>
        </w:rPr>
        <w:t>报告</w:t>
      </w:r>
      <w:r>
        <w:rPr>
          <w:rFonts w:hint="eastAsia" w:ascii="仿宋_GB2312" w:hAnsi="仿宋_GB2312" w:eastAsia="仿宋_GB2312" w:cs="仿宋_GB2312"/>
          <w:spacing w:val="5"/>
          <w:sz w:val="32"/>
          <w:szCs w:val="32"/>
          <w:lang w:val="en-US" w:eastAsia="zh-CN"/>
        </w:rPr>
        <w:t>内容，上报时限要求及部门</w:t>
      </w:r>
      <w:r>
        <w:rPr>
          <w:rFonts w:hint="eastAsia" w:ascii="仿宋_GB2312" w:hAnsi="仿宋_GB2312" w:eastAsia="仿宋_GB2312" w:cs="仿宋_GB2312"/>
          <w:spacing w:val="5"/>
          <w:sz w:val="32"/>
          <w:szCs w:val="32"/>
        </w:rPr>
        <w:t>；</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4</w:t>
      </w:r>
      <w:r>
        <w:rPr>
          <w:rFonts w:hint="eastAsia" w:ascii="仿宋_GB2312" w:hAnsi="仿宋_GB2312" w:eastAsia="仿宋_GB2312" w:cs="仿宋_GB2312"/>
          <w:spacing w:val="5"/>
          <w:sz w:val="32"/>
          <w:szCs w:val="32"/>
        </w:rPr>
        <w:t>）</w:t>
      </w:r>
      <w:r>
        <w:rPr>
          <w:rFonts w:hint="eastAsia" w:ascii="仿宋_GB2312" w:hAnsi="仿宋_GB2312" w:eastAsia="仿宋_GB2312" w:cs="仿宋_GB2312"/>
          <w:spacing w:val="5"/>
          <w:sz w:val="32"/>
          <w:szCs w:val="32"/>
          <w:lang w:val="en-US" w:eastAsia="zh-CN"/>
        </w:rPr>
        <w:t>了解不同级别</w:t>
      </w:r>
      <w:r>
        <w:rPr>
          <w:rFonts w:hint="eastAsia" w:ascii="仿宋_GB2312" w:hAnsi="仿宋_GB2312" w:eastAsia="仿宋_GB2312" w:cs="仿宋_GB2312"/>
          <w:spacing w:val="5"/>
          <w:sz w:val="32"/>
          <w:szCs w:val="32"/>
        </w:rPr>
        <w:t>生产安全事故</w:t>
      </w:r>
      <w:r>
        <w:rPr>
          <w:rFonts w:hint="eastAsia" w:ascii="仿宋_GB2312" w:hAnsi="仿宋_GB2312" w:eastAsia="仿宋_GB2312" w:cs="仿宋_GB2312"/>
          <w:spacing w:val="5"/>
          <w:sz w:val="32"/>
          <w:szCs w:val="32"/>
          <w:lang w:val="en-US" w:eastAsia="zh-CN"/>
        </w:rPr>
        <w:t>的</w:t>
      </w:r>
      <w:r>
        <w:rPr>
          <w:rFonts w:hint="eastAsia" w:ascii="仿宋_GB2312" w:hAnsi="仿宋_GB2312" w:eastAsia="仿宋_GB2312" w:cs="仿宋_GB2312"/>
          <w:spacing w:val="5"/>
          <w:sz w:val="32"/>
          <w:szCs w:val="32"/>
        </w:rPr>
        <w:t>调查处理</w:t>
      </w:r>
      <w:r>
        <w:rPr>
          <w:rFonts w:hint="eastAsia" w:ascii="仿宋_GB2312" w:hAnsi="仿宋_GB2312" w:eastAsia="仿宋_GB2312" w:cs="仿宋_GB2312"/>
          <w:spacing w:val="5"/>
          <w:sz w:val="32"/>
          <w:szCs w:val="32"/>
          <w:lang w:val="en-US" w:eastAsia="zh-CN"/>
        </w:rPr>
        <w:t>权限及基本流程，事故发生单位义务；</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5）熟悉深圳市典型自然灾害、灾害报告及应对措施。</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5.2.2.8了解国内外先进安全生产管理经验。</w:t>
      </w:r>
    </w:p>
    <w:p>
      <w:pPr>
        <w:keepNext w:val="0"/>
        <w:keepLines w:val="0"/>
        <w:pageBreakBefore w:val="0"/>
        <w:widowControl w:val="0"/>
        <w:wordWrap/>
        <w:overflowPunct/>
        <w:topLinePunct w:val="0"/>
        <w:bidi w:val="0"/>
        <w:spacing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5.2.2.9 了解典型</w:t>
      </w:r>
      <w:r>
        <w:rPr>
          <w:rFonts w:hint="eastAsia" w:ascii="仿宋_GB2312" w:hAnsi="仿宋_GB2312" w:eastAsia="仿宋_GB2312" w:cs="仿宋_GB2312"/>
          <w:spacing w:val="5"/>
          <w:sz w:val="32"/>
          <w:szCs w:val="32"/>
          <w:lang w:eastAsia="zh-CN"/>
        </w:rPr>
        <w:t>生产安全</w:t>
      </w:r>
      <w:r>
        <w:rPr>
          <w:rFonts w:hint="eastAsia" w:ascii="仿宋_GB2312" w:hAnsi="仿宋_GB2312" w:eastAsia="仿宋_GB2312" w:cs="仿宋_GB2312"/>
          <w:spacing w:val="5"/>
          <w:sz w:val="32"/>
          <w:szCs w:val="32"/>
        </w:rPr>
        <w:t>事故和应急救援案例分析。</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5</w:t>
      </w:r>
      <w:r>
        <w:rPr>
          <w:rFonts w:ascii="仿宋_GB2312" w:hAnsi="仿宋_GB2312" w:eastAsia="仿宋_GB2312" w:cs="仿宋_GB2312"/>
          <w:snapToGrid w:val="0"/>
          <w:kern w:val="0"/>
          <w:sz w:val="32"/>
          <w:szCs w:val="32"/>
        </w:rPr>
        <w:t>.2.3</w:t>
      </w:r>
      <w:r>
        <w:rPr>
          <w:rFonts w:hint="eastAsia" w:ascii="仿宋_GB2312" w:hAnsi="仿宋_GB2312" w:eastAsia="仿宋_GB2312" w:cs="仿宋_GB2312"/>
          <w:snapToGrid w:val="0"/>
          <w:kern w:val="0"/>
          <w:sz w:val="32"/>
          <w:szCs w:val="32"/>
        </w:rPr>
        <w:t xml:space="preserve"> </w:t>
      </w:r>
      <w:r>
        <w:rPr>
          <w:rFonts w:ascii="仿宋_GB2312" w:hAnsi="仿宋_GB2312" w:eastAsia="仿宋_GB2312" w:cs="仿宋_GB2312"/>
          <w:snapToGrid w:val="0"/>
          <w:kern w:val="0"/>
          <w:sz w:val="32"/>
          <w:szCs w:val="32"/>
        </w:rPr>
        <w:t>安全生产技术</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5</w:t>
      </w:r>
      <w:r>
        <w:rPr>
          <w:rFonts w:ascii="仿宋_GB2312" w:hAnsi="仿宋_GB2312" w:eastAsia="仿宋_GB2312" w:cs="仿宋_GB2312"/>
          <w:snapToGrid w:val="0"/>
          <w:kern w:val="0"/>
          <w:sz w:val="32"/>
          <w:szCs w:val="32"/>
        </w:rPr>
        <w:t>.2.3</w:t>
      </w:r>
      <w:r>
        <w:rPr>
          <w:rFonts w:hint="eastAsia" w:ascii="仿宋_GB2312" w:hAnsi="仿宋_GB2312" w:eastAsia="仿宋_GB2312" w:cs="仿宋_GB2312"/>
          <w:snapToGrid w:val="0"/>
          <w:kern w:val="0"/>
          <w:sz w:val="32"/>
          <w:szCs w:val="32"/>
        </w:rPr>
        <w:t>.1 了解通用安全技术，主要包括机械、电气、防火防爆、特种设备、危险作业、危险化学品等安全技术。</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5</w:t>
      </w:r>
      <w:r>
        <w:rPr>
          <w:rFonts w:ascii="仿宋_GB2312" w:hAnsi="仿宋_GB2312" w:eastAsia="仿宋_GB2312" w:cs="仿宋_GB2312"/>
          <w:snapToGrid w:val="0"/>
          <w:kern w:val="0"/>
          <w:sz w:val="32"/>
          <w:szCs w:val="32"/>
        </w:rPr>
        <w:t>.2.3</w:t>
      </w:r>
      <w:r>
        <w:rPr>
          <w:rFonts w:hint="eastAsia" w:ascii="仿宋_GB2312" w:hAnsi="仿宋_GB2312" w:eastAsia="仿宋_GB2312" w:cs="仿宋_GB2312"/>
          <w:snapToGrid w:val="0"/>
          <w:kern w:val="0"/>
          <w:sz w:val="32"/>
          <w:szCs w:val="32"/>
        </w:rPr>
        <w:t xml:space="preserve">.2 </w:t>
      </w:r>
      <w:r>
        <w:rPr>
          <w:rFonts w:hint="eastAsia" w:ascii="仿宋_GB2312" w:hAnsi="仿宋_GB2312" w:eastAsia="仿宋_GB2312" w:cs="仿宋_GB2312"/>
          <w:snapToGrid w:val="0"/>
          <w:kern w:val="0"/>
          <w:sz w:val="32"/>
          <w:szCs w:val="32"/>
          <w:lang w:val="en-US" w:eastAsia="zh-CN"/>
        </w:rPr>
        <w:t>熟悉</w:t>
      </w:r>
      <w:r>
        <w:rPr>
          <w:rFonts w:hint="eastAsia" w:ascii="仿宋_GB2312" w:hAnsi="仿宋_GB2312" w:eastAsia="仿宋_GB2312" w:cs="仿宋_GB2312"/>
          <w:snapToGrid w:val="0"/>
          <w:kern w:val="0"/>
          <w:sz w:val="32"/>
          <w:szCs w:val="32"/>
        </w:rPr>
        <w:t>本行业安全生产专业技术</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lang w:val="en-US" w:eastAsia="zh-CN"/>
        </w:rPr>
        <w:t>能辨识、分析、评价作业场所和作业过程中存在的危险、有害因素，制定相应防范技术措施</w:t>
      </w:r>
      <w:r>
        <w:rPr>
          <w:rFonts w:hint="eastAsia" w:ascii="仿宋_GB2312" w:hAnsi="仿宋_GB2312" w:eastAsia="仿宋_GB2312" w:cs="仿宋_GB2312"/>
          <w:snapToGrid w:val="0"/>
          <w:kern w:val="0"/>
          <w:sz w:val="32"/>
          <w:szCs w:val="32"/>
        </w:rPr>
        <w:t>。</w:t>
      </w:r>
    </w:p>
    <w:p>
      <w:pPr>
        <w:keepNext w:val="0"/>
        <w:keepLines w:val="0"/>
        <w:pageBreakBefore w:val="0"/>
        <w:widowControl w:val="0"/>
        <w:kinsoku w:val="0"/>
        <w:wordWrap/>
        <w:overflowPunct/>
        <w:topLinePunct w:val="0"/>
        <w:autoSpaceDE w:val="0"/>
        <w:autoSpaceDN w:val="0"/>
        <w:bidi w:val="0"/>
        <w:adjustRightInd w:val="0"/>
        <w:snapToGrid w:val="0"/>
        <w:spacing w:line="700" w:lineRule="exact"/>
        <w:ind w:firstLine="610" w:firstLineChars="200"/>
        <w:jc w:val="left"/>
        <w:textAlignment w:val="baseline"/>
        <w:outlineLvl w:val="0"/>
        <w:rPr>
          <w:rFonts w:hint="eastAsia" w:ascii="黑体" w:hAnsi="黑体" w:eastAsia="黑体" w:cs="黑体"/>
          <w:b/>
          <w:bCs/>
          <w:spacing w:val="-8"/>
          <w:sz w:val="32"/>
          <w:szCs w:val="32"/>
        </w:rPr>
      </w:pPr>
      <w:bookmarkStart w:id="6" w:name="_Toc15203"/>
      <w:bookmarkStart w:id="7" w:name="_Toc207271451"/>
      <w:r>
        <w:rPr>
          <w:rFonts w:hint="eastAsia" w:ascii="黑体" w:hAnsi="黑体" w:eastAsia="黑体" w:cs="黑体"/>
          <w:b/>
          <w:bCs/>
          <w:spacing w:val="-8"/>
          <w:sz w:val="32"/>
          <w:szCs w:val="32"/>
        </w:rPr>
        <w:t>6 再培训要求</w:t>
      </w:r>
      <w:bookmarkEnd w:id="6"/>
      <w:r>
        <w:rPr>
          <w:rFonts w:hint="eastAsia" w:ascii="黑体" w:hAnsi="黑体" w:eastAsia="黑体" w:cs="黑体"/>
          <w:b/>
          <w:bCs/>
          <w:spacing w:val="-8"/>
          <w:sz w:val="32"/>
          <w:szCs w:val="32"/>
        </w:rPr>
        <w:t>和要点</w:t>
      </w:r>
      <w:bookmarkEnd w:id="7"/>
    </w:p>
    <w:p>
      <w:pPr>
        <w:keepNext w:val="0"/>
        <w:keepLines w:val="0"/>
        <w:pageBreakBefore w:val="0"/>
        <w:widowControl w:val="0"/>
        <w:kinsoku w:val="0"/>
        <w:wordWrap/>
        <w:overflowPunct/>
        <w:topLinePunct w:val="0"/>
        <w:autoSpaceDE w:val="0"/>
        <w:autoSpaceDN w:val="0"/>
        <w:bidi w:val="0"/>
        <w:adjustRightInd w:val="0"/>
        <w:snapToGrid w:val="0"/>
        <w:spacing w:line="700" w:lineRule="exact"/>
        <w:ind w:firstLine="650" w:firstLineChars="200"/>
        <w:jc w:val="left"/>
        <w:textAlignment w:val="baseline"/>
        <w:rPr>
          <w:rFonts w:hint="eastAsia" w:ascii="楷体_GB2312" w:hAnsi="楷体" w:eastAsia="楷体_GB2312" w:cs="楷体"/>
          <w:b/>
          <w:bCs/>
          <w:spacing w:val="2"/>
          <w:sz w:val="32"/>
          <w:szCs w:val="32"/>
        </w:rPr>
      </w:pPr>
      <w:r>
        <w:rPr>
          <w:rFonts w:hint="eastAsia" w:ascii="楷体_GB2312" w:hAnsi="楷体" w:eastAsia="楷体_GB2312" w:cs="楷体"/>
          <w:b/>
          <w:bCs/>
          <w:spacing w:val="2"/>
          <w:sz w:val="32"/>
          <w:szCs w:val="32"/>
        </w:rPr>
        <w:t>6.1 再培训要求</w:t>
      </w:r>
    </w:p>
    <w:p>
      <w:pPr>
        <w:keepNext w:val="0"/>
        <w:keepLines w:val="0"/>
        <w:pageBreakBefore w:val="0"/>
        <w:widowControl w:val="0"/>
        <w:wordWrap/>
        <w:overflowPunct/>
        <w:topLinePunct w:val="0"/>
        <w:bidi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kern w:val="0"/>
          <w:sz w:val="32"/>
          <w:szCs w:val="32"/>
        </w:rPr>
        <w:t>生产经营单位对</w:t>
      </w:r>
      <w:r>
        <w:rPr>
          <w:rFonts w:hint="eastAsia" w:ascii="仿宋_GB2312" w:hAnsi="仿宋_GB2312" w:eastAsia="仿宋_GB2312" w:cs="仿宋_GB2312"/>
          <w:bCs/>
          <w:kern w:val="0"/>
          <w:sz w:val="32"/>
          <w:szCs w:val="32"/>
          <w:lang w:eastAsia="zh-CN"/>
        </w:rPr>
        <w:t>安全生产管理人员</w:t>
      </w:r>
      <w:r>
        <w:rPr>
          <w:rFonts w:hint="eastAsia" w:ascii="仿宋_GB2312" w:hAnsi="仿宋_GB2312" w:eastAsia="仿宋_GB2312" w:cs="仿宋_GB2312"/>
          <w:bCs/>
          <w:kern w:val="0"/>
          <w:sz w:val="32"/>
          <w:szCs w:val="32"/>
        </w:rPr>
        <w:t>再培训可制定相应计划，记录再培训情况，并按本大纲的再培训要点进行效果评估。</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50" w:firstLineChars="200"/>
        <w:jc w:val="left"/>
        <w:textAlignment w:val="baseline"/>
        <w:rPr>
          <w:rFonts w:hint="eastAsia" w:ascii="楷体_GB2312" w:hAnsi="楷体" w:eastAsia="楷体_GB2312" w:cs="楷体"/>
          <w:b/>
          <w:bCs/>
          <w:spacing w:val="2"/>
          <w:sz w:val="32"/>
          <w:szCs w:val="32"/>
        </w:rPr>
      </w:pPr>
      <w:r>
        <w:rPr>
          <w:rFonts w:hint="eastAsia" w:ascii="楷体_GB2312" w:hAnsi="楷体" w:eastAsia="楷体_GB2312" w:cs="楷体"/>
          <w:b/>
          <w:bCs/>
          <w:spacing w:val="2"/>
          <w:sz w:val="32"/>
          <w:szCs w:val="32"/>
        </w:rPr>
        <w:t>6.2 再培训要点</w:t>
      </w:r>
    </w:p>
    <w:p>
      <w:pPr>
        <w:keepNext w:val="0"/>
        <w:keepLines w:val="0"/>
        <w:pageBreakBefore w:val="0"/>
        <w:widowControl w:val="0"/>
        <w:wordWrap/>
        <w:overflowPunct/>
        <w:topLinePunct w:val="0"/>
        <w:bidi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6.2.1</w:t>
      </w:r>
      <w:r>
        <w:rPr>
          <w:rFonts w:hint="eastAsia" w:ascii="仿宋_GB2312" w:hAnsi="仿宋_GB2312" w:eastAsia="仿宋_GB2312" w:cs="仿宋_GB2312"/>
          <w:bCs/>
          <w:sz w:val="32"/>
          <w:szCs w:val="32"/>
          <w:lang w:val="en-US" w:eastAsia="zh-CN"/>
        </w:rPr>
        <w:t>熟悉</w:t>
      </w:r>
      <w:r>
        <w:rPr>
          <w:rFonts w:hint="eastAsia" w:ascii="仿宋_GB2312" w:hAnsi="仿宋_GB2312" w:eastAsia="仿宋_GB2312" w:cs="仿宋_GB2312"/>
          <w:bCs/>
          <w:sz w:val="32"/>
          <w:szCs w:val="32"/>
        </w:rPr>
        <w:t>习近平总书记关于安全生产重要论述。</w:t>
      </w:r>
    </w:p>
    <w:p>
      <w:pPr>
        <w:keepNext w:val="0"/>
        <w:keepLines w:val="0"/>
        <w:pageBreakBefore w:val="0"/>
        <w:widowControl w:val="0"/>
        <w:wordWrap/>
        <w:overflowPunct/>
        <w:topLinePunct w:val="0"/>
        <w:bidi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6.2.2掌握安全生产最新法律法规、国家标准和行业标准。</w:t>
      </w:r>
    </w:p>
    <w:p>
      <w:pPr>
        <w:keepNext w:val="0"/>
        <w:keepLines w:val="0"/>
        <w:pageBreakBefore w:val="0"/>
        <w:widowControl w:val="0"/>
        <w:wordWrap/>
        <w:overflowPunct/>
        <w:topLinePunct w:val="0"/>
        <w:bidi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6.2.3</w:t>
      </w:r>
      <w:r>
        <w:rPr>
          <w:rFonts w:hint="eastAsia" w:ascii="仿宋_GB2312" w:hAnsi="仿宋_GB2312" w:eastAsia="仿宋_GB2312" w:cs="仿宋_GB2312"/>
          <w:bCs/>
          <w:sz w:val="32"/>
          <w:szCs w:val="32"/>
          <w:lang w:val="en-US" w:eastAsia="zh-CN"/>
        </w:rPr>
        <w:t>了解</w:t>
      </w:r>
      <w:r>
        <w:rPr>
          <w:rFonts w:hint="eastAsia" w:ascii="仿宋_GB2312" w:hAnsi="仿宋_GB2312" w:eastAsia="仿宋_GB2312" w:cs="仿宋_GB2312"/>
          <w:bCs/>
          <w:sz w:val="32"/>
          <w:szCs w:val="32"/>
        </w:rPr>
        <w:t>本行业新材料、新设备、新工艺及新技术的安全技术要求。</w:t>
      </w:r>
    </w:p>
    <w:p>
      <w:pPr>
        <w:keepNext w:val="0"/>
        <w:keepLines w:val="0"/>
        <w:pageBreakBefore w:val="0"/>
        <w:widowControl w:val="0"/>
        <w:wordWrap/>
        <w:overflowPunct/>
        <w:topLinePunct w:val="0"/>
        <w:bidi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6.2.4了解本行业国内外先进安全生产管理经验。</w:t>
      </w:r>
    </w:p>
    <w:p>
      <w:pPr>
        <w:keepNext w:val="0"/>
        <w:keepLines w:val="0"/>
        <w:pageBreakBefore w:val="0"/>
        <w:widowControl w:val="0"/>
        <w:wordWrap/>
        <w:overflowPunct/>
        <w:topLinePunct w:val="0"/>
        <w:bidi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6.2.5了解本行业</w:t>
      </w:r>
      <w:r>
        <w:rPr>
          <w:rFonts w:hint="eastAsia" w:ascii="仿宋_GB2312" w:hAnsi="仿宋_GB2312" w:eastAsia="仿宋_GB2312" w:cs="仿宋_GB2312"/>
          <w:bCs/>
          <w:sz w:val="32"/>
          <w:szCs w:val="32"/>
          <w:lang w:eastAsia="zh-CN"/>
        </w:rPr>
        <w:t>典型生产安全事故</w:t>
      </w:r>
      <w:r>
        <w:rPr>
          <w:rFonts w:hint="eastAsia" w:ascii="仿宋_GB2312" w:hAnsi="仿宋_GB2312" w:eastAsia="仿宋_GB2312" w:cs="仿宋_GB2312"/>
          <w:bCs/>
          <w:sz w:val="32"/>
          <w:szCs w:val="32"/>
        </w:rPr>
        <w:t>案例分析。</w:t>
      </w:r>
    </w:p>
    <w:sectPr>
      <w:footerReference r:id="rId3"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E0000AFF" w:usb1="500078FF" w:usb2="00000021" w:usb3="00000000" w:csb0="600001BF" w:csb1="DFF7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09758036"/>
      <w:docPartObj>
        <w:docPartGallery w:val="autotext"/>
      </w:docPartObj>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5"/>
      <w:suff w:val="nothing"/>
      <w:lvlText w:val="%1%2　"/>
      <w:lvlJc w:val="left"/>
      <w:pPr>
        <w:ind w:left="0" w:firstLine="0"/>
      </w:pPr>
      <w:rPr>
        <w:rFonts w:hint="default" w:ascii="黑体" w:eastAsia="黑体"/>
        <w:b w:val="0"/>
        <w:i w:val="0"/>
        <w:sz w:val="32"/>
        <w:szCs w:val="32"/>
      </w:rPr>
    </w:lvl>
    <w:lvl w:ilvl="2" w:tentative="0">
      <w:start w:val="1"/>
      <w:numFmt w:val="decimal"/>
      <w:suff w:val="nothing"/>
      <w:lvlText w:val="%1%2.%3　"/>
      <w:lvlJc w:val="left"/>
      <w:pPr>
        <w:ind w:left="0" w:firstLine="0"/>
      </w:pPr>
      <w:rPr>
        <w:rFonts w:hint="default" w:ascii="黑体" w:hAnsi="Times New Roman" w:eastAsia="黑体" w:cs="Times New Roman"/>
        <w:b w:val="0"/>
        <w:bCs w:val="0"/>
        <w:i w:val="0"/>
        <w:iCs w:val="0"/>
        <w:caps w:val="0"/>
        <w:smallCaps w:val="0"/>
        <w:strike w:val="0"/>
        <w:dstrike w:val="0"/>
        <w:vanish w:val="0"/>
        <w:color w:val="000000"/>
        <w:spacing w:val="0"/>
        <w:kern w:val="0"/>
        <w:position w:val="0"/>
        <w:sz w:val="32"/>
        <w:szCs w:val="32"/>
        <w:u w:val="none"/>
        <w:vertAlign w:val="baseline"/>
      </w:rPr>
    </w:lvl>
    <w:lvl w:ilvl="3" w:tentative="0">
      <w:start w:val="1"/>
      <w:numFmt w:val="decimal"/>
      <w:suff w:val="nothing"/>
      <w:lvlText w:val="%1%2.%3.%4　"/>
      <w:lvlJc w:val="left"/>
      <w:pPr>
        <w:ind w:left="0" w:firstLine="0"/>
      </w:pPr>
      <w:rPr>
        <w:rFonts w:hint="default" w:ascii="黑体" w:eastAsia="黑体"/>
        <w:b w:val="0"/>
        <w:i w:val="0"/>
        <w:sz w:val="32"/>
        <w:szCs w:val="32"/>
      </w:rPr>
    </w:lvl>
    <w:lvl w:ilvl="4" w:tentative="0">
      <w:start w:val="1"/>
      <w:numFmt w:val="decimal"/>
      <w:suff w:val="nothing"/>
      <w:lvlText w:val="%1%2.%3.%4.%5　"/>
      <w:lvlJc w:val="left"/>
      <w:pPr>
        <w:ind w:left="0" w:firstLine="0"/>
      </w:pPr>
      <w:rPr>
        <w:rFonts w:hint="default" w:ascii="黑体" w:eastAsia="黑体"/>
        <w:b w:val="0"/>
        <w:i w:val="0"/>
        <w:sz w:val="32"/>
        <w:szCs w:val="32"/>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FEFD037F"/>
    <w:rsid w:val="000050F0"/>
    <w:rsid w:val="00006438"/>
    <w:rsid w:val="00012188"/>
    <w:rsid w:val="0001667E"/>
    <w:rsid w:val="00022C76"/>
    <w:rsid w:val="00023F42"/>
    <w:rsid w:val="00024243"/>
    <w:rsid w:val="00024539"/>
    <w:rsid w:val="00031884"/>
    <w:rsid w:val="00041367"/>
    <w:rsid w:val="0005195E"/>
    <w:rsid w:val="00051D7F"/>
    <w:rsid w:val="00056063"/>
    <w:rsid w:val="00061634"/>
    <w:rsid w:val="00072AC1"/>
    <w:rsid w:val="0007339F"/>
    <w:rsid w:val="00077CF7"/>
    <w:rsid w:val="00082C66"/>
    <w:rsid w:val="0008410F"/>
    <w:rsid w:val="00085B66"/>
    <w:rsid w:val="00087A26"/>
    <w:rsid w:val="000919F2"/>
    <w:rsid w:val="0009291F"/>
    <w:rsid w:val="000A07B2"/>
    <w:rsid w:val="000A1FC9"/>
    <w:rsid w:val="000B6246"/>
    <w:rsid w:val="000C076E"/>
    <w:rsid w:val="000C0BA4"/>
    <w:rsid w:val="000E1DCE"/>
    <w:rsid w:val="000F7203"/>
    <w:rsid w:val="00121716"/>
    <w:rsid w:val="00130138"/>
    <w:rsid w:val="0013016D"/>
    <w:rsid w:val="00145034"/>
    <w:rsid w:val="00146CAE"/>
    <w:rsid w:val="00150BA3"/>
    <w:rsid w:val="00156CA8"/>
    <w:rsid w:val="001855F8"/>
    <w:rsid w:val="001875AA"/>
    <w:rsid w:val="001934FF"/>
    <w:rsid w:val="001A6D8E"/>
    <w:rsid w:val="001C241A"/>
    <w:rsid w:val="001C2E95"/>
    <w:rsid w:val="001C45A6"/>
    <w:rsid w:val="001D69B0"/>
    <w:rsid w:val="001E7558"/>
    <w:rsid w:val="001F1CC2"/>
    <w:rsid w:val="00213EF5"/>
    <w:rsid w:val="002174A4"/>
    <w:rsid w:val="00222C24"/>
    <w:rsid w:val="00233487"/>
    <w:rsid w:val="00233F31"/>
    <w:rsid w:val="0023470A"/>
    <w:rsid w:val="00234A16"/>
    <w:rsid w:val="002453C8"/>
    <w:rsid w:val="00250498"/>
    <w:rsid w:val="00251CBA"/>
    <w:rsid w:val="002521A1"/>
    <w:rsid w:val="0027007B"/>
    <w:rsid w:val="002725E0"/>
    <w:rsid w:val="00293A02"/>
    <w:rsid w:val="00295D44"/>
    <w:rsid w:val="0029797F"/>
    <w:rsid w:val="002A004D"/>
    <w:rsid w:val="002C1DD6"/>
    <w:rsid w:val="002C404D"/>
    <w:rsid w:val="002C6AFC"/>
    <w:rsid w:val="002E2E7D"/>
    <w:rsid w:val="002E6715"/>
    <w:rsid w:val="002E7056"/>
    <w:rsid w:val="002F4FA3"/>
    <w:rsid w:val="00301BCF"/>
    <w:rsid w:val="0032125A"/>
    <w:rsid w:val="00327BE6"/>
    <w:rsid w:val="003401E5"/>
    <w:rsid w:val="00361C5E"/>
    <w:rsid w:val="00362F19"/>
    <w:rsid w:val="00395985"/>
    <w:rsid w:val="00395F90"/>
    <w:rsid w:val="003A3A48"/>
    <w:rsid w:val="003A5E82"/>
    <w:rsid w:val="003D1A11"/>
    <w:rsid w:val="003D542B"/>
    <w:rsid w:val="003D77C1"/>
    <w:rsid w:val="003E667E"/>
    <w:rsid w:val="00400287"/>
    <w:rsid w:val="0041105E"/>
    <w:rsid w:val="004110A2"/>
    <w:rsid w:val="00425E89"/>
    <w:rsid w:val="004439F9"/>
    <w:rsid w:val="00451E53"/>
    <w:rsid w:val="00462619"/>
    <w:rsid w:val="00465906"/>
    <w:rsid w:val="004705DD"/>
    <w:rsid w:val="004803CE"/>
    <w:rsid w:val="00482328"/>
    <w:rsid w:val="00493142"/>
    <w:rsid w:val="00494C86"/>
    <w:rsid w:val="004B0D83"/>
    <w:rsid w:val="004B1BF0"/>
    <w:rsid w:val="004B6B26"/>
    <w:rsid w:val="004C77CE"/>
    <w:rsid w:val="004D2C4F"/>
    <w:rsid w:val="004E3709"/>
    <w:rsid w:val="004E770B"/>
    <w:rsid w:val="004F492E"/>
    <w:rsid w:val="004F548A"/>
    <w:rsid w:val="00510826"/>
    <w:rsid w:val="00517D97"/>
    <w:rsid w:val="005231C8"/>
    <w:rsid w:val="00551CC2"/>
    <w:rsid w:val="00552F19"/>
    <w:rsid w:val="00557418"/>
    <w:rsid w:val="0056507E"/>
    <w:rsid w:val="00572B6C"/>
    <w:rsid w:val="00597F7E"/>
    <w:rsid w:val="005A1622"/>
    <w:rsid w:val="005C24E8"/>
    <w:rsid w:val="005C73BB"/>
    <w:rsid w:val="005D6AF1"/>
    <w:rsid w:val="005F4CCC"/>
    <w:rsid w:val="006203A6"/>
    <w:rsid w:val="00622E16"/>
    <w:rsid w:val="006317A4"/>
    <w:rsid w:val="00631BD2"/>
    <w:rsid w:val="00647FEB"/>
    <w:rsid w:val="006511F6"/>
    <w:rsid w:val="00655C68"/>
    <w:rsid w:val="0066340A"/>
    <w:rsid w:val="006668F3"/>
    <w:rsid w:val="00674FF3"/>
    <w:rsid w:val="006757DB"/>
    <w:rsid w:val="006843DD"/>
    <w:rsid w:val="006A132D"/>
    <w:rsid w:val="006B2DFD"/>
    <w:rsid w:val="006B50D5"/>
    <w:rsid w:val="006C50E2"/>
    <w:rsid w:val="006C5211"/>
    <w:rsid w:val="006C5A05"/>
    <w:rsid w:val="006C623D"/>
    <w:rsid w:val="006E3AF0"/>
    <w:rsid w:val="006E3B80"/>
    <w:rsid w:val="006E58C7"/>
    <w:rsid w:val="006E6CF4"/>
    <w:rsid w:val="006F31A3"/>
    <w:rsid w:val="00707BDD"/>
    <w:rsid w:val="0071302F"/>
    <w:rsid w:val="00716211"/>
    <w:rsid w:val="00723016"/>
    <w:rsid w:val="00735619"/>
    <w:rsid w:val="0074329F"/>
    <w:rsid w:val="007432B9"/>
    <w:rsid w:val="00743ADD"/>
    <w:rsid w:val="007456EE"/>
    <w:rsid w:val="007752C6"/>
    <w:rsid w:val="00777B06"/>
    <w:rsid w:val="007958E0"/>
    <w:rsid w:val="007A04A9"/>
    <w:rsid w:val="007A2752"/>
    <w:rsid w:val="007A3DB5"/>
    <w:rsid w:val="007A6FCF"/>
    <w:rsid w:val="007B37D7"/>
    <w:rsid w:val="007C4B2B"/>
    <w:rsid w:val="007D3488"/>
    <w:rsid w:val="007D774A"/>
    <w:rsid w:val="007D78A2"/>
    <w:rsid w:val="00806EDD"/>
    <w:rsid w:val="008072D4"/>
    <w:rsid w:val="00813AA9"/>
    <w:rsid w:val="008222B3"/>
    <w:rsid w:val="008562AA"/>
    <w:rsid w:val="00874CB0"/>
    <w:rsid w:val="00877F19"/>
    <w:rsid w:val="0088457D"/>
    <w:rsid w:val="008956D8"/>
    <w:rsid w:val="00897350"/>
    <w:rsid w:val="008A0D87"/>
    <w:rsid w:val="008A3D13"/>
    <w:rsid w:val="008A6E85"/>
    <w:rsid w:val="008C0D94"/>
    <w:rsid w:val="008C6603"/>
    <w:rsid w:val="008D18FF"/>
    <w:rsid w:val="008E528A"/>
    <w:rsid w:val="00903D5C"/>
    <w:rsid w:val="00905018"/>
    <w:rsid w:val="00922675"/>
    <w:rsid w:val="00924920"/>
    <w:rsid w:val="0092543A"/>
    <w:rsid w:val="00926085"/>
    <w:rsid w:val="009266AF"/>
    <w:rsid w:val="00927B5E"/>
    <w:rsid w:val="009334E4"/>
    <w:rsid w:val="00933683"/>
    <w:rsid w:val="00935C65"/>
    <w:rsid w:val="0093614B"/>
    <w:rsid w:val="00945D3C"/>
    <w:rsid w:val="009609AE"/>
    <w:rsid w:val="00966ED9"/>
    <w:rsid w:val="00967954"/>
    <w:rsid w:val="0097311D"/>
    <w:rsid w:val="00974C81"/>
    <w:rsid w:val="00985BB7"/>
    <w:rsid w:val="00987B61"/>
    <w:rsid w:val="009902CD"/>
    <w:rsid w:val="0099665D"/>
    <w:rsid w:val="00997507"/>
    <w:rsid w:val="009A5457"/>
    <w:rsid w:val="009B2FAE"/>
    <w:rsid w:val="009C24F4"/>
    <w:rsid w:val="009C4E32"/>
    <w:rsid w:val="009D04B4"/>
    <w:rsid w:val="009D215F"/>
    <w:rsid w:val="009F5A55"/>
    <w:rsid w:val="009F72BB"/>
    <w:rsid w:val="00A00326"/>
    <w:rsid w:val="00A15A29"/>
    <w:rsid w:val="00A26962"/>
    <w:rsid w:val="00A50F69"/>
    <w:rsid w:val="00A63297"/>
    <w:rsid w:val="00A647C3"/>
    <w:rsid w:val="00A7634E"/>
    <w:rsid w:val="00A82796"/>
    <w:rsid w:val="00A82B62"/>
    <w:rsid w:val="00A947EB"/>
    <w:rsid w:val="00AA5501"/>
    <w:rsid w:val="00AB074C"/>
    <w:rsid w:val="00AC3025"/>
    <w:rsid w:val="00AC555E"/>
    <w:rsid w:val="00AD088B"/>
    <w:rsid w:val="00AE65BD"/>
    <w:rsid w:val="00B012D7"/>
    <w:rsid w:val="00B11B6A"/>
    <w:rsid w:val="00B21CEA"/>
    <w:rsid w:val="00B255CD"/>
    <w:rsid w:val="00B30B17"/>
    <w:rsid w:val="00B33D05"/>
    <w:rsid w:val="00B4287B"/>
    <w:rsid w:val="00B659C3"/>
    <w:rsid w:val="00B71DA5"/>
    <w:rsid w:val="00B86BC1"/>
    <w:rsid w:val="00BB0434"/>
    <w:rsid w:val="00BB1D08"/>
    <w:rsid w:val="00BB2566"/>
    <w:rsid w:val="00BD0ABD"/>
    <w:rsid w:val="00BD747F"/>
    <w:rsid w:val="00BF543B"/>
    <w:rsid w:val="00BF7B53"/>
    <w:rsid w:val="00C135CA"/>
    <w:rsid w:val="00C32E12"/>
    <w:rsid w:val="00C61C35"/>
    <w:rsid w:val="00C663F5"/>
    <w:rsid w:val="00C77382"/>
    <w:rsid w:val="00C81F54"/>
    <w:rsid w:val="00C85695"/>
    <w:rsid w:val="00C87604"/>
    <w:rsid w:val="00C96B25"/>
    <w:rsid w:val="00CB1E42"/>
    <w:rsid w:val="00CD5D8F"/>
    <w:rsid w:val="00CE1BFC"/>
    <w:rsid w:val="00CE7BA9"/>
    <w:rsid w:val="00D01278"/>
    <w:rsid w:val="00D03779"/>
    <w:rsid w:val="00D05D4D"/>
    <w:rsid w:val="00D10A5C"/>
    <w:rsid w:val="00D14465"/>
    <w:rsid w:val="00D264E8"/>
    <w:rsid w:val="00D27F1E"/>
    <w:rsid w:val="00D3212D"/>
    <w:rsid w:val="00D3777D"/>
    <w:rsid w:val="00D40C2E"/>
    <w:rsid w:val="00D43DFB"/>
    <w:rsid w:val="00D44ACC"/>
    <w:rsid w:val="00D45A03"/>
    <w:rsid w:val="00D500F8"/>
    <w:rsid w:val="00D60F40"/>
    <w:rsid w:val="00D652BC"/>
    <w:rsid w:val="00D65E62"/>
    <w:rsid w:val="00D91C4F"/>
    <w:rsid w:val="00DA4819"/>
    <w:rsid w:val="00DA7A04"/>
    <w:rsid w:val="00DB2F9E"/>
    <w:rsid w:val="00DB5571"/>
    <w:rsid w:val="00DC51F5"/>
    <w:rsid w:val="00DD4030"/>
    <w:rsid w:val="00DD5B67"/>
    <w:rsid w:val="00DD5E2D"/>
    <w:rsid w:val="00DF7ECC"/>
    <w:rsid w:val="00E03F19"/>
    <w:rsid w:val="00E075A5"/>
    <w:rsid w:val="00E0770D"/>
    <w:rsid w:val="00E122EB"/>
    <w:rsid w:val="00E20627"/>
    <w:rsid w:val="00E21723"/>
    <w:rsid w:val="00E31834"/>
    <w:rsid w:val="00E54F5D"/>
    <w:rsid w:val="00E57E18"/>
    <w:rsid w:val="00E64391"/>
    <w:rsid w:val="00E66E41"/>
    <w:rsid w:val="00E70496"/>
    <w:rsid w:val="00E73F1E"/>
    <w:rsid w:val="00E865C2"/>
    <w:rsid w:val="00E96EC1"/>
    <w:rsid w:val="00EA2EF4"/>
    <w:rsid w:val="00EC3797"/>
    <w:rsid w:val="00ED5DF0"/>
    <w:rsid w:val="00ED6A3E"/>
    <w:rsid w:val="00ED7296"/>
    <w:rsid w:val="00EE7B07"/>
    <w:rsid w:val="00EE7BB7"/>
    <w:rsid w:val="00EF1368"/>
    <w:rsid w:val="00EF2313"/>
    <w:rsid w:val="00F005B8"/>
    <w:rsid w:val="00F05468"/>
    <w:rsid w:val="00F07ED7"/>
    <w:rsid w:val="00F12656"/>
    <w:rsid w:val="00F231FA"/>
    <w:rsid w:val="00F239D2"/>
    <w:rsid w:val="00F37A23"/>
    <w:rsid w:val="00F5670A"/>
    <w:rsid w:val="00F70CDC"/>
    <w:rsid w:val="00F7158D"/>
    <w:rsid w:val="00F74427"/>
    <w:rsid w:val="00F7518C"/>
    <w:rsid w:val="00F841FD"/>
    <w:rsid w:val="00F86295"/>
    <w:rsid w:val="00F923F2"/>
    <w:rsid w:val="00FA378B"/>
    <w:rsid w:val="00FB0167"/>
    <w:rsid w:val="00FB4062"/>
    <w:rsid w:val="00FC0B28"/>
    <w:rsid w:val="00FC4CC6"/>
    <w:rsid w:val="010351AA"/>
    <w:rsid w:val="01227D26"/>
    <w:rsid w:val="013C06BC"/>
    <w:rsid w:val="016C0FA1"/>
    <w:rsid w:val="01E90844"/>
    <w:rsid w:val="02441F1E"/>
    <w:rsid w:val="02457A2C"/>
    <w:rsid w:val="02685C0C"/>
    <w:rsid w:val="027F4D04"/>
    <w:rsid w:val="029F0F02"/>
    <w:rsid w:val="02B20C36"/>
    <w:rsid w:val="02C95F7F"/>
    <w:rsid w:val="036A59B4"/>
    <w:rsid w:val="0370464D"/>
    <w:rsid w:val="037B371D"/>
    <w:rsid w:val="039D7B38"/>
    <w:rsid w:val="03A34A22"/>
    <w:rsid w:val="03B76A2D"/>
    <w:rsid w:val="03D1333D"/>
    <w:rsid w:val="03F11C32"/>
    <w:rsid w:val="04247911"/>
    <w:rsid w:val="04477AA3"/>
    <w:rsid w:val="04910D1F"/>
    <w:rsid w:val="04AB0032"/>
    <w:rsid w:val="04CD61FB"/>
    <w:rsid w:val="04DE21B6"/>
    <w:rsid w:val="04EB042F"/>
    <w:rsid w:val="04F96FF0"/>
    <w:rsid w:val="050F05C1"/>
    <w:rsid w:val="05545FD4"/>
    <w:rsid w:val="05C25634"/>
    <w:rsid w:val="060E0879"/>
    <w:rsid w:val="06A27213"/>
    <w:rsid w:val="06AE7966"/>
    <w:rsid w:val="06D80E87"/>
    <w:rsid w:val="06E94E42"/>
    <w:rsid w:val="072F4F4B"/>
    <w:rsid w:val="07465DF0"/>
    <w:rsid w:val="078E1545"/>
    <w:rsid w:val="07A11279"/>
    <w:rsid w:val="07AF7E3A"/>
    <w:rsid w:val="07D258D6"/>
    <w:rsid w:val="082C3238"/>
    <w:rsid w:val="083B347B"/>
    <w:rsid w:val="08577C79"/>
    <w:rsid w:val="08716E9D"/>
    <w:rsid w:val="08C90A87"/>
    <w:rsid w:val="08DC4C5E"/>
    <w:rsid w:val="092403B3"/>
    <w:rsid w:val="092E0FBB"/>
    <w:rsid w:val="095F3199"/>
    <w:rsid w:val="096D3B08"/>
    <w:rsid w:val="099A0675"/>
    <w:rsid w:val="0A026946"/>
    <w:rsid w:val="0A326B00"/>
    <w:rsid w:val="0A3665F0"/>
    <w:rsid w:val="0A6071C9"/>
    <w:rsid w:val="0A6A629A"/>
    <w:rsid w:val="0A9D666F"/>
    <w:rsid w:val="0AE55920"/>
    <w:rsid w:val="0B472137"/>
    <w:rsid w:val="0B896BF3"/>
    <w:rsid w:val="0C126BE9"/>
    <w:rsid w:val="0C152235"/>
    <w:rsid w:val="0C1F4E62"/>
    <w:rsid w:val="0C210BDA"/>
    <w:rsid w:val="0C547201"/>
    <w:rsid w:val="0C632FA1"/>
    <w:rsid w:val="0C662A91"/>
    <w:rsid w:val="0CE560AB"/>
    <w:rsid w:val="0CEA36C2"/>
    <w:rsid w:val="0CF25558"/>
    <w:rsid w:val="0D091D9A"/>
    <w:rsid w:val="0D1B1ACD"/>
    <w:rsid w:val="0D270472"/>
    <w:rsid w:val="0D336E17"/>
    <w:rsid w:val="0D38442D"/>
    <w:rsid w:val="0D957AD2"/>
    <w:rsid w:val="0DD24882"/>
    <w:rsid w:val="0E1C5AFD"/>
    <w:rsid w:val="0E250E55"/>
    <w:rsid w:val="0E5928AD"/>
    <w:rsid w:val="0E6354DA"/>
    <w:rsid w:val="0E686F94"/>
    <w:rsid w:val="0EA77ABC"/>
    <w:rsid w:val="0EAA11F9"/>
    <w:rsid w:val="0EF56A7A"/>
    <w:rsid w:val="0F4B669A"/>
    <w:rsid w:val="0F5F0397"/>
    <w:rsid w:val="0F670FFA"/>
    <w:rsid w:val="0F784FB5"/>
    <w:rsid w:val="101C0036"/>
    <w:rsid w:val="10480E2B"/>
    <w:rsid w:val="10C75DB2"/>
    <w:rsid w:val="10D26947"/>
    <w:rsid w:val="110A4333"/>
    <w:rsid w:val="11895257"/>
    <w:rsid w:val="11E84674"/>
    <w:rsid w:val="11EE155E"/>
    <w:rsid w:val="120A6475"/>
    <w:rsid w:val="12623816"/>
    <w:rsid w:val="12942106"/>
    <w:rsid w:val="12957C2C"/>
    <w:rsid w:val="12C0114D"/>
    <w:rsid w:val="12C66037"/>
    <w:rsid w:val="12E52961"/>
    <w:rsid w:val="13031039"/>
    <w:rsid w:val="132D60B6"/>
    <w:rsid w:val="13946135"/>
    <w:rsid w:val="13A4281C"/>
    <w:rsid w:val="13E76BAD"/>
    <w:rsid w:val="14425B91"/>
    <w:rsid w:val="145A112D"/>
    <w:rsid w:val="146124BC"/>
    <w:rsid w:val="14942891"/>
    <w:rsid w:val="14A979BF"/>
    <w:rsid w:val="14B836DE"/>
    <w:rsid w:val="14BB6070"/>
    <w:rsid w:val="15475B55"/>
    <w:rsid w:val="155E4C4D"/>
    <w:rsid w:val="156F6E5A"/>
    <w:rsid w:val="15CE1DD3"/>
    <w:rsid w:val="1626576B"/>
    <w:rsid w:val="163D0D06"/>
    <w:rsid w:val="16816E45"/>
    <w:rsid w:val="170D06D9"/>
    <w:rsid w:val="17147CB9"/>
    <w:rsid w:val="171B1048"/>
    <w:rsid w:val="17966920"/>
    <w:rsid w:val="17BB1EE3"/>
    <w:rsid w:val="17E70F2A"/>
    <w:rsid w:val="1820443C"/>
    <w:rsid w:val="18716A45"/>
    <w:rsid w:val="18A64941"/>
    <w:rsid w:val="18AA0265"/>
    <w:rsid w:val="18D019BE"/>
    <w:rsid w:val="18D23988"/>
    <w:rsid w:val="18F356AC"/>
    <w:rsid w:val="18FC362D"/>
    <w:rsid w:val="192F0DDA"/>
    <w:rsid w:val="193B777F"/>
    <w:rsid w:val="19766A09"/>
    <w:rsid w:val="199D21E8"/>
    <w:rsid w:val="19B60BB4"/>
    <w:rsid w:val="19CC03D7"/>
    <w:rsid w:val="19E41BC5"/>
    <w:rsid w:val="19E82D37"/>
    <w:rsid w:val="1A18361C"/>
    <w:rsid w:val="1A27385F"/>
    <w:rsid w:val="1A355B24"/>
    <w:rsid w:val="1A642D06"/>
    <w:rsid w:val="1A75281D"/>
    <w:rsid w:val="1A9B5FFB"/>
    <w:rsid w:val="1A9F789A"/>
    <w:rsid w:val="1AEB2ADF"/>
    <w:rsid w:val="1AF71484"/>
    <w:rsid w:val="1AFE6CB6"/>
    <w:rsid w:val="1B171B26"/>
    <w:rsid w:val="1B293607"/>
    <w:rsid w:val="1B80591D"/>
    <w:rsid w:val="1B9E5DA3"/>
    <w:rsid w:val="1BA210A1"/>
    <w:rsid w:val="1C13053F"/>
    <w:rsid w:val="1C8B27CB"/>
    <w:rsid w:val="1CC17F9B"/>
    <w:rsid w:val="1CC63804"/>
    <w:rsid w:val="1CCE4466"/>
    <w:rsid w:val="1D344C11"/>
    <w:rsid w:val="1DCE22F6"/>
    <w:rsid w:val="1DE859FC"/>
    <w:rsid w:val="1DF24184"/>
    <w:rsid w:val="1DF95513"/>
    <w:rsid w:val="1DFE521F"/>
    <w:rsid w:val="1E0565AE"/>
    <w:rsid w:val="1E0740D4"/>
    <w:rsid w:val="1E4A5D6E"/>
    <w:rsid w:val="1E827BFE"/>
    <w:rsid w:val="20D81D57"/>
    <w:rsid w:val="214E201A"/>
    <w:rsid w:val="21676C37"/>
    <w:rsid w:val="21AD0AEE"/>
    <w:rsid w:val="21E93AF0"/>
    <w:rsid w:val="2241392C"/>
    <w:rsid w:val="225673D8"/>
    <w:rsid w:val="22592A24"/>
    <w:rsid w:val="22723AE6"/>
    <w:rsid w:val="22CA1B74"/>
    <w:rsid w:val="22D8603F"/>
    <w:rsid w:val="22DE117B"/>
    <w:rsid w:val="231A0405"/>
    <w:rsid w:val="23294AEC"/>
    <w:rsid w:val="23CD36CA"/>
    <w:rsid w:val="23E427C1"/>
    <w:rsid w:val="241412F8"/>
    <w:rsid w:val="241F1A4B"/>
    <w:rsid w:val="242552B4"/>
    <w:rsid w:val="242B4894"/>
    <w:rsid w:val="24303C58"/>
    <w:rsid w:val="24594F5D"/>
    <w:rsid w:val="247507F8"/>
    <w:rsid w:val="24C85C3F"/>
    <w:rsid w:val="24DE1906"/>
    <w:rsid w:val="24F84776"/>
    <w:rsid w:val="252C08C4"/>
    <w:rsid w:val="25710085"/>
    <w:rsid w:val="25C24D84"/>
    <w:rsid w:val="25C64874"/>
    <w:rsid w:val="25D725DE"/>
    <w:rsid w:val="26031625"/>
    <w:rsid w:val="260929B3"/>
    <w:rsid w:val="267B5911"/>
    <w:rsid w:val="26946721"/>
    <w:rsid w:val="26B741BD"/>
    <w:rsid w:val="27037A76"/>
    <w:rsid w:val="27767BD4"/>
    <w:rsid w:val="27934C2A"/>
    <w:rsid w:val="279F712B"/>
    <w:rsid w:val="27B23302"/>
    <w:rsid w:val="27F05BD9"/>
    <w:rsid w:val="281F026C"/>
    <w:rsid w:val="28327F9F"/>
    <w:rsid w:val="284321AC"/>
    <w:rsid w:val="28C037FD"/>
    <w:rsid w:val="28DE36B5"/>
    <w:rsid w:val="29183639"/>
    <w:rsid w:val="294A1318"/>
    <w:rsid w:val="29565F0F"/>
    <w:rsid w:val="29D15596"/>
    <w:rsid w:val="29DF18FC"/>
    <w:rsid w:val="29E277A3"/>
    <w:rsid w:val="29EC0622"/>
    <w:rsid w:val="2A27165A"/>
    <w:rsid w:val="2A4820D7"/>
    <w:rsid w:val="2A506E02"/>
    <w:rsid w:val="2A810D6A"/>
    <w:rsid w:val="2ABA24CE"/>
    <w:rsid w:val="2AE9690F"/>
    <w:rsid w:val="2B1E2A5D"/>
    <w:rsid w:val="2B342280"/>
    <w:rsid w:val="2B603075"/>
    <w:rsid w:val="2B612949"/>
    <w:rsid w:val="2B8A6344"/>
    <w:rsid w:val="2B944ACD"/>
    <w:rsid w:val="2BA2368E"/>
    <w:rsid w:val="2BDE3F9A"/>
    <w:rsid w:val="2BFB4B4C"/>
    <w:rsid w:val="2C0E0D23"/>
    <w:rsid w:val="2C3F0EDD"/>
    <w:rsid w:val="2C5867E5"/>
    <w:rsid w:val="2C6B7F24"/>
    <w:rsid w:val="2CA46F92"/>
    <w:rsid w:val="2CBC42DB"/>
    <w:rsid w:val="2D2500D2"/>
    <w:rsid w:val="2D3E2F42"/>
    <w:rsid w:val="2D5409B8"/>
    <w:rsid w:val="2DB43204"/>
    <w:rsid w:val="2DC86CB0"/>
    <w:rsid w:val="2DFD2DFD"/>
    <w:rsid w:val="2E33681F"/>
    <w:rsid w:val="2EA339A5"/>
    <w:rsid w:val="2EB86D24"/>
    <w:rsid w:val="2EBC6814"/>
    <w:rsid w:val="2ECB2EFB"/>
    <w:rsid w:val="2EE45D6B"/>
    <w:rsid w:val="2EF04710"/>
    <w:rsid w:val="2F034443"/>
    <w:rsid w:val="2F320885"/>
    <w:rsid w:val="2F594063"/>
    <w:rsid w:val="2FC71915"/>
    <w:rsid w:val="2FDE6C5E"/>
    <w:rsid w:val="300C37CC"/>
    <w:rsid w:val="301601A6"/>
    <w:rsid w:val="301D32E3"/>
    <w:rsid w:val="30907F59"/>
    <w:rsid w:val="30AE03DF"/>
    <w:rsid w:val="31464ABB"/>
    <w:rsid w:val="318A49A8"/>
    <w:rsid w:val="31D9148B"/>
    <w:rsid w:val="31DE2F46"/>
    <w:rsid w:val="31EE13DB"/>
    <w:rsid w:val="32427031"/>
    <w:rsid w:val="32456B21"/>
    <w:rsid w:val="32803FFD"/>
    <w:rsid w:val="32AF043E"/>
    <w:rsid w:val="32CB171C"/>
    <w:rsid w:val="32FD564D"/>
    <w:rsid w:val="33024A12"/>
    <w:rsid w:val="330B7D6A"/>
    <w:rsid w:val="33134E71"/>
    <w:rsid w:val="33294694"/>
    <w:rsid w:val="33596D28"/>
    <w:rsid w:val="33890C8F"/>
    <w:rsid w:val="338B0EAB"/>
    <w:rsid w:val="33A45AC9"/>
    <w:rsid w:val="342509B8"/>
    <w:rsid w:val="34515C51"/>
    <w:rsid w:val="347B2CCE"/>
    <w:rsid w:val="347D25A2"/>
    <w:rsid w:val="34A57D4B"/>
    <w:rsid w:val="3522139B"/>
    <w:rsid w:val="35466E38"/>
    <w:rsid w:val="359E4EC6"/>
    <w:rsid w:val="35CF524D"/>
    <w:rsid w:val="36015455"/>
    <w:rsid w:val="361B6516"/>
    <w:rsid w:val="36243D90"/>
    <w:rsid w:val="36625EF3"/>
    <w:rsid w:val="366E2AEA"/>
    <w:rsid w:val="368A71F8"/>
    <w:rsid w:val="36BA5D2F"/>
    <w:rsid w:val="36C46BAE"/>
    <w:rsid w:val="36DB3EF8"/>
    <w:rsid w:val="36E56B24"/>
    <w:rsid w:val="36E763F9"/>
    <w:rsid w:val="37070849"/>
    <w:rsid w:val="37427AD3"/>
    <w:rsid w:val="375C0B95"/>
    <w:rsid w:val="37C87FD8"/>
    <w:rsid w:val="38206066"/>
    <w:rsid w:val="382B67B9"/>
    <w:rsid w:val="3872263A"/>
    <w:rsid w:val="388859B9"/>
    <w:rsid w:val="38BD5663"/>
    <w:rsid w:val="38C56C0D"/>
    <w:rsid w:val="390C0398"/>
    <w:rsid w:val="390C65EA"/>
    <w:rsid w:val="39700927"/>
    <w:rsid w:val="39D54C2E"/>
    <w:rsid w:val="39E6508D"/>
    <w:rsid w:val="39E66E3B"/>
    <w:rsid w:val="39FE4185"/>
    <w:rsid w:val="39FF1CAB"/>
    <w:rsid w:val="3A5162F8"/>
    <w:rsid w:val="3A797CAF"/>
    <w:rsid w:val="3ABE56C2"/>
    <w:rsid w:val="3AC3717D"/>
    <w:rsid w:val="3B356485"/>
    <w:rsid w:val="3B653D90"/>
    <w:rsid w:val="3B7F30A4"/>
    <w:rsid w:val="3B9C1EA7"/>
    <w:rsid w:val="3BDE4717"/>
    <w:rsid w:val="3BF5780A"/>
    <w:rsid w:val="3BF770DE"/>
    <w:rsid w:val="3C1732DC"/>
    <w:rsid w:val="3C2C6CFD"/>
    <w:rsid w:val="3C3436C9"/>
    <w:rsid w:val="3C681D8A"/>
    <w:rsid w:val="3C6F136A"/>
    <w:rsid w:val="3C885F88"/>
    <w:rsid w:val="3C9E1C4F"/>
    <w:rsid w:val="3CBD7D9C"/>
    <w:rsid w:val="3CC66AB0"/>
    <w:rsid w:val="3CEF4259"/>
    <w:rsid w:val="3D346110"/>
    <w:rsid w:val="3D4F4CF8"/>
    <w:rsid w:val="3D6764E5"/>
    <w:rsid w:val="3DF00B18"/>
    <w:rsid w:val="3E815385"/>
    <w:rsid w:val="3E8A248B"/>
    <w:rsid w:val="3ECD4126"/>
    <w:rsid w:val="3F2C3542"/>
    <w:rsid w:val="3F8A2017"/>
    <w:rsid w:val="3FA13628"/>
    <w:rsid w:val="40503261"/>
    <w:rsid w:val="406805AA"/>
    <w:rsid w:val="40FA4F7A"/>
    <w:rsid w:val="42274495"/>
    <w:rsid w:val="4235270E"/>
    <w:rsid w:val="423C1CEE"/>
    <w:rsid w:val="4242307D"/>
    <w:rsid w:val="426E5C20"/>
    <w:rsid w:val="42982C9D"/>
    <w:rsid w:val="42B5384F"/>
    <w:rsid w:val="42E303BC"/>
    <w:rsid w:val="431762B8"/>
    <w:rsid w:val="43317379"/>
    <w:rsid w:val="43655275"/>
    <w:rsid w:val="436C03B1"/>
    <w:rsid w:val="4392593E"/>
    <w:rsid w:val="44136A7F"/>
    <w:rsid w:val="44DF2E05"/>
    <w:rsid w:val="45034D45"/>
    <w:rsid w:val="452E1696"/>
    <w:rsid w:val="452F5B59"/>
    <w:rsid w:val="456357E4"/>
    <w:rsid w:val="45637592"/>
    <w:rsid w:val="45765517"/>
    <w:rsid w:val="4607616F"/>
    <w:rsid w:val="461D1E37"/>
    <w:rsid w:val="46396545"/>
    <w:rsid w:val="464A2500"/>
    <w:rsid w:val="4678706D"/>
    <w:rsid w:val="46A936CA"/>
    <w:rsid w:val="46B502C1"/>
    <w:rsid w:val="470362D1"/>
    <w:rsid w:val="475353E4"/>
    <w:rsid w:val="478A34FC"/>
    <w:rsid w:val="47C14A44"/>
    <w:rsid w:val="48102333"/>
    <w:rsid w:val="481903DC"/>
    <w:rsid w:val="484F3DFE"/>
    <w:rsid w:val="485D29BF"/>
    <w:rsid w:val="48743864"/>
    <w:rsid w:val="48897310"/>
    <w:rsid w:val="48BA396D"/>
    <w:rsid w:val="48DF1625"/>
    <w:rsid w:val="4916491B"/>
    <w:rsid w:val="49663AF5"/>
    <w:rsid w:val="496D09DF"/>
    <w:rsid w:val="4972249A"/>
    <w:rsid w:val="49AB59AC"/>
    <w:rsid w:val="49DB1DED"/>
    <w:rsid w:val="4A525E27"/>
    <w:rsid w:val="4AC960E9"/>
    <w:rsid w:val="4B154342"/>
    <w:rsid w:val="4B26353C"/>
    <w:rsid w:val="4B4571F0"/>
    <w:rsid w:val="4B7F49FA"/>
    <w:rsid w:val="4BDA4326"/>
    <w:rsid w:val="4BDB2578"/>
    <w:rsid w:val="4C251A45"/>
    <w:rsid w:val="4C527DBA"/>
    <w:rsid w:val="4CA02E7A"/>
    <w:rsid w:val="4CBE1552"/>
    <w:rsid w:val="4CCE3E8B"/>
    <w:rsid w:val="4CDF7E46"/>
    <w:rsid w:val="4CE94821"/>
    <w:rsid w:val="4CFF2296"/>
    <w:rsid w:val="4DEF602C"/>
    <w:rsid w:val="4DF25957"/>
    <w:rsid w:val="4E9133C2"/>
    <w:rsid w:val="4E9C3B15"/>
    <w:rsid w:val="4ECE5B23"/>
    <w:rsid w:val="4EEF1E97"/>
    <w:rsid w:val="4F512B51"/>
    <w:rsid w:val="4F5A491C"/>
    <w:rsid w:val="4F860A4D"/>
    <w:rsid w:val="4F8922EB"/>
    <w:rsid w:val="50483F54"/>
    <w:rsid w:val="50A05B3E"/>
    <w:rsid w:val="50BE5FC4"/>
    <w:rsid w:val="51053BF3"/>
    <w:rsid w:val="517B2107"/>
    <w:rsid w:val="51AF590D"/>
    <w:rsid w:val="522B58DB"/>
    <w:rsid w:val="53277E51"/>
    <w:rsid w:val="534A1D91"/>
    <w:rsid w:val="53607919"/>
    <w:rsid w:val="539179C0"/>
    <w:rsid w:val="539349F0"/>
    <w:rsid w:val="53E915AA"/>
    <w:rsid w:val="5458228C"/>
    <w:rsid w:val="54694499"/>
    <w:rsid w:val="54751090"/>
    <w:rsid w:val="54AB4AB2"/>
    <w:rsid w:val="54AF6350"/>
    <w:rsid w:val="54CD2C7A"/>
    <w:rsid w:val="55006BAB"/>
    <w:rsid w:val="55144405"/>
    <w:rsid w:val="5563538C"/>
    <w:rsid w:val="55B6370E"/>
    <w:rsid w:val="55BA1450"/>
    <w:rsid w:val="55C0458D"/>
    <w:rsid w:val="55D707A2"/>
    <w:rsid w:val="560501F2"/>
    <w:rsid w:val="5640122A"/>
    <w:rsid w:val="56CB143B"/>
    <w:rsid w:val="570F757A"/>
    <w:rsid w:val="5737087F"/>
    <w:rsid w:val="57566F57"/>
    <w:rsid w:val="57664CC0"/>
    <w:rsid w:val="57BD7499"/>
    <w:rsid w:val="57BE68AA"/>
    <w:rsid w:val="583152CE"/>
    <w:rsid w:val="587C29ED"/>
    <w:rsid w:val="588C69A8"/>
    <w:rsid w:val="589F66DB"/>
    <w:rsid w:val="58B959EF"/>
    <w:rsid w:val="58CB127E"/>
    <w:rsid w:val="58D75E75"/>
    <w:rsid w:val="58EB1921"/>
    <w:rsid w:val="593B4656"/>
    <w:rsid w:val="5960230F"/>
    <w:rsid w:val="597162CA"/>
    <w:rsid w:val="59936587"/>
    <w:rsid w:val="59CF2E66"/>
    <w:rsid w:val="5A0507C0"/>
    <w:rsid w:val="5A2275C4"/>
    <w:rsid w:val="5A4F7C8D"/>
    <w:rsid w:val="5AB87F28"/>
    <w:rsid w:val="5AC661A1"/>
    <w:rsid w:val="5AF80325"/>
    <w:rsid w:val="5B1213E7"/>
    <w:rsid w:val="5B127639"/>
    <w:rsid w:val="5B4812AC"/>
    <w:rsid w:val="5B57329D"/>
    <w:rsid w:val="5B61236E"/>
    <w:rsid w:val="5B773940"/>
    <w:rsid w:val="5BA02E96"/>
    <w:rsid w:val="5BB406F0"/>
    <w:rsid w:val="5C6C0FCA"/>
    <w:rsid w:val="5CD10E2D"/>
    <w:rsid w:val="5CD252D1"/>
    <w:rsid w:val="5D1A6C78"/>
    <w:rsid w:val="5D8506A1"/>
    <w:rsid w:val="5D8D11F8"/>
    <w:rsid w:val="5DB1138B"/>
    <w:rsid w:val="5DB33301"/>
    <w:rsid w:val="5DE30E18"/>
    <w:rsid w:val="5E5E2B95"/>
    <w:rsid w:val="5E912F6A"/>
    <w:rsid w:val="5EC7698C"/>
    <w:rsid w:val="5EE4309A"/>
    <w:rsid w:val="5EF25F1B"/>
    <w:rsid w:val="5F4D50E3"/>
    <w:rsid w:val="5F5F6BC4"/>
    <w:rsid w:val="5F7C1524"/>
    <w:rsid w:val="5F84662B"/>
    <w:rsid w:val="5F9E76ED"/>
    <w:rsid w:val="5FF53085"/>
    <w:rsid w:val="605B55DE"/>
    <w:rsid w:val="60C018E5"/>
    <w:rsid w:val="610B7004"/>
    <w:rsid w:val="6122434D"/>
    <w:rsid w:val="61E0223F"/>
    <w:rsid w:val="61E55ABD"/>
    <w:rsid w:val="61F77588"/>
    <w:rsid w:val="62287742"/>
    <w:rsid w:val="62922E0D"/>
    <w:rsid w:val="62BE57EC"/>
    <w:rsid w:val="63141A74"/>
    <w:rsid w:val="639253E3"/>
    <w:rsid w:val="63A4104A"/>
    <w:rsid w:val="63E63410"/>
    <w:rsid w:val="64306D81"/>
    <w:rsid w:val="64356146"/>
    <w:rsid w:val="643A0656"/>
    <w:rsid w:val="6472739A"/>
    <w:rsid w:val="64BB2AEF"/>
    <w:rsid w:val="64D25334"/>
    <w:rsid w:val="64D56AE9"/>
    <w:rsid w:val="64EA656E"/>
    <w:rsid w:val="65181CEF"/>
    <w:rsid w:val="654E74BF"/>
    <w:rsid w:val="658E1FB1"/>
    <w:rsid w:val="659F41BF"/>
    <w:rsid w:val="65D04378"/>
    <w:rsid w:val="663F14FE"/>
    <w:rsid w:val="66636F9A"/>
    <w:rsid w:val="66805D9E"/>
    <w:rsid w:val="66A51361"/>
    <w:rsid w:val="67112E9A"/>
    <w:rsid w:val="67670D0C"/>
    <w:rsid w:val="679C6C08"/>
    <w:rsid w:val="67BC2E06"/>
    <w:rsid w:val="67EBD28D"/>
    <w:rsid w:val="681C1AF7"/>
    <w:rsid w:val="683926A8"/>
    <w:rsid w:val="683C7AA3"/>
    <w:rsid w:val="687C07E7"/>
    <w:rsid w:val="688B0A2A"/>
    <w:rsid w:val="68993147"/>
    <w:rsid w:val="68C1269E"/>
    <w:rsid w:val="68F44821"/>
    <w:rsid w:val="68F55EA4"/>
    <w:rsid w:val="699456BD"/>
    <w:rsid w:val="69C064B2"/>
    <w:rsid w:val="6A570BC4"/>
    <w:rsid w:val="6AE10DD5"/>
    <w:rsid w:val="6BB34520"/>
    <w:rsid w:val="6BD2163B"/>
    <w:rsid w:val="6BD46244"/>
    <w:rsid w:val="6C1A459F"/>
    <w:rsid w:val="6C3D203B"/>
    <w:rsid w:val="6C6608C4"/>
    <w:rsid w:val="6D4D2752"/>
    <w:rsid w:val="6D9143ED"/>
    <w:rsid w:val="6DA07B3F"/>
    <w:rsid w:val="6DC04CD2"/>
    <w:rsid w:val="6DCC3677"/>
    <w:rsid w:val="6DE54739"/>
    <w:rsid w:val="6DEA61F3"/>
    <w:rsid w:val="6E245261"/>
    <w:rsid w:val="6EB74327"/>
    <w:rsid w:val="6EE36ECA"/>
    <w:rsid w:val="6F062BB9"/>
    <w:rsid w:val="6F4B0F13"/>
    <w:rsid w:val="6F8F0E00"/>
    <w:rsid w:val="6F912DCA"/>
    <w:rsid w:val="7004359C"/>
    <w:rsid w:val="70447A9C"/>
    <w:rsid w:val="70891CF3"/>
    <w:rsid w:val="70E231B1"/>
    <w:rsid w:val="70FE448F"/>
    <w:rsid w:val="71245578"/>
    <w:rsid w:val="712A5284"/>
    <w:rsid w:val="7142463B"/>
    <w:rsid w:val="71C823A7"/>
    <w:rsid w:val="71F31237"/>
    <w:rsid w:val="72023B0B"/>
    <w:rsid w:val="724A3704"/>
    <w:rsid w:val="728409C4"/>
    <w:rsid w:val="729606F7"/>
    <w:rsid w:val="72E476B5"/>
    <w:rsid w:val="72EB6860"/>
    <w:rsid w:val="72EC3B81"/>
    <w:rsid w:val="72FB6049"/>
    <w:rsid w:val="736507F6"/>
    <w:rsid w:val="73832A2A"/>
    <w:rsid w:val="738F426F"/>
    <w:rsid w:val="73B2330F"/>
    <w:rsid w:val="73F6144E"/>
    <w:rsid w:val="745B7503"/>
    <w:rsid w:val="745D771F"/>
    <w:rsid w:val="74BA691F"/>
    <w:rsid w:val="74D80B53"/>
    <w:rsid w:val="74FF4332"/>
    <w:rsid w:val="754601B3"/>
    <w:rsid w:val="756E770A"/>
    <w:rsid w:val="75846F2D"/>
    <w:rsid w:val="759233F8"/>
    <w:rsid w:val="75AB44BA"/>
    <w:rsid w:val="75C57F15"/>
    <w:rsid w:val="75EF18F5"/>
    <w:rsid w:val="764010A6"/>
    <w:rsid w:val="764D37C3"/>
    <w:rsid w:val="768D3BBF"/>
    <w:rsid w:val="76960CC6"/>
    <w:rsid w:val="779C67B0"/>
    <w:rsid w:val="77B7CE3F"/>
    <w:rsid w:val="77BC475C"/>
    <w:rsid w:val="77F9150C"/>
    <w:rsid w:val="78000AED"/>
    <w:rsid w:val="78120820"/>
    <w:rsid w:val="78746DE5"/>
    <w:rsid w:val="789E20B4"/>
    <w:rsid w:val="78E33F6B"/>
    <w:rsid w:val="790A599B"/>
    <w:rsid w:val="793A002E"/>
    <w:rsid w:val="79554E68"/>
    <w:rsid w:val="79733540"/>
    <w:rsid w:val="797554B1"/>
    <w:rsid w:val="798E3ED6"/>
    <w:rsid w:val="79A60F46"/>
    <w:rsid w:val="79CF6ED7"/>
    <w:rsid w:val="7A230AC3"/>
    <w:rsid w:val="7A2800DC"/>
    <w:rsid w:val="7A522889"/>
    <w:rsid w:val="7AEA5A84"/>
    <w:rsid w:val="7AF20495"/>
    <w:rsid w:val="7B09415C"/>
    <w:rsid w:val="7B0C59FB"/>
    <w:rsid w:val="7B3F192C"/>
    <w:rsid w:val="7B7470FC"/>
    <w:rsid w:val="7B784E3E"/>
    <w:rsid w:val="7B892BA7"/>
    <w:rsid w:val="7B933A26"/>
    <w:rsid w:val="7BB35E76"/>
    <w:rsid w:val="7BE36A1F"/>
    <w:rsid w:val="7BEC1388"/>
    <w:rsid w:val="7C014E34"/>
    <w:rsid w:val="7C1A4147"/>
    <w:rsid w:val="7C26489A"/>
    <w:rsid w:val="7C374CF9"/>
    <w:rsid w:val="7C870D8D"/>
    <w:rsid w:val="7CBB76D8"/>
    <w:rsid w:val="7CC61BD9"/>
    <w:rsid w:val="7CCF4F32"/>
    <w:rsid w:val="7CF16C56"/>
    <w:rsid w:val="7CF44998"/>
    <w:rsid w:val="7D00333D"/>
    <w:rsid w:val="7D2863F0"/>
    <w:rsid w:val="7DA63EE4"/>
    <w:rsid w:val="7DB3215D"/>
    <w:rsid w:val="7DD6409E"/>
    <w:rsid w:val="7E081E91"/>
    <w:rsid w:val="7E2B263C"/>
    <w:rsid w:val="7E3037AE"/>
    <w:rsid w:val="7EFB3DBC"/>
    <w:rsid w:val="7F016EF9"/>
    <w:rsid w:val="7F3648B6"/>
    <w:rsid w:val="7F73A714"/>
    <w:rsid w:val="7F7973D7"/>
    <w:rsid w:val="7F7E49ED"/>
    <w:rsid w:val="7F9FD051"/>
    <w:rsid w:val="7FB328E9"/>
    <w:rsid w:val="7FBAB1C8"/>
    <w:rsid w:val="7FD12D6F"/>
    <w:rsid w:val="7FEE3921"/>
    <w:rsid w:val="7FF4DA7B"/>
    <w:rsid w:val="8FEFA15E"/>
    <w:rsid w:val="B47EB09E"/>
    <w:rsid w:val="BF7F491B"/>
    <w:rsid w:val="DDFF9F33"/>
    <w:rsid w:val="F3DFD5CF"/>
    <w:rsid w:val="FAAB9DFE"/>
    <w:rsid w:val="FDFA1ED1"/>
    <w:rsid w:val="FEFD037F"/>
    <w:rsid w:val="FEFE2E53"/>
    <w:rsid w:val="FFFFA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Arial" w:hAnsi="Arial" w:eastAsia="Arial" w:cs="Arial"/>
      <w:szCs w:val="21"/>
      <w:lang w:eastAsia="en-US"/>
    </w:rPr>
  </w:style>
  <w:style w:type="paragraph" w:styleId="4">
    <w:name w:val="Date"/>
    <w:basedOn w:val="1"/>
    <w:next w:val="1"/>
    <w:link w:val="17"/>
    <w:qFormat/>
    <w:uiPriority w:val="0"/>
    <w:pPr>
      <w:ind w:left="100" w:leftChars="2500"/>
    </w:pPr>
  </w:style>
  <w:style w:type="paragraph" w:styleId="5">
    <w:name w:val="footer"/>
    <w:basedOn w:val="1"/>
    <w:link w:val="14"/>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qFormat/>
    <w:uiPriority w:val="39"/>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unhideWhenUsed/>
    <w:qFormat/>
    <w:uiPriority w:val="99"/>
    <w:rPr>
      <w:color w:val="0026E5" w:themeColor="hyperlink"/>
      <w:u w:val="single"/>
      <w14:textFill>
        <w14:solidFill>
          <w14:schemeClr w14:val="hlink"/>
        </w14:solidFill>
      </w14:textFill>
    </w:rPr>
  </w:style>
  <w:style w:type="character" w:customStyle="1" w:styleId="14">
    <w:name w:val="页脚 字符"/>
    <w:basedOn w:val="11"/>
    <w:link w:val="5"/>
    <w:qFormat/>
    <w:uiPriority w:val="99"/>
    <w:rPr>
      <w:rFonts w:asciiTheme="minorHAnsi" w:hAnsiTheme="minorHAnsi" w:eastAsiaTheme="minorEastAsia" w:cstheme="minorBidi"/>
      <w:kern w:val="2"/>
      <w:sz w:val="18"/>
      <w:szCs w:val="24"/>
    </w:rPr>
  </w:style>
  <w:style w:type="paragraph" w:customStyle="1" w:styleId="15">
    <w:name w:val="标准文件_章标题"/>
    <w:next w:val="1"/>
    <w:qFormat/>
    <w:uiPriority w:val="0"/>
    <w:pPr>
      <w:numPr>
        <w:ilvl w:val="1"/>
        <w:numId w:val="1"/>
      </w:numPr>
      <w:spacing w:beforeLines="100" w:afterLines="100"/>
      <w:jc w:val="both"/>
      <w:outlineLvl w:val="0"/>
    </w:pPr>
    <w:rPr>
      <w:rFonts w:ascii="黑体" w:hAnsi="Times New Roman" w:eastAsia="黑体" w:cs="Times New Roman"/>
      <w:sz w:val="21"/>
      <w:lang w:val="en-US" w:eastAsia="zh-CN" w:bidi="ar-SA"/>
    </w:rPr>
  </w:style>
  <w:style w:type="paragraph" w:customStyle="1" w:styleId="16">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7">
    <w:name w:val="日期 字符"/>
    <w:basedOn w:val="11"/>
    <w:link w:val="4"/>
    <w:qFormat/>
    <w:uiPriority w:val="0"/>
    <w:rPr>
      <w:rFonts w:asciiTheme="minorHAnsi" w:hAnsiTheme="minorHAnsi" w:eastAsiaTheme="minorEastAsia" w:cstheme="minorBidi"/>
      <w:kern w:val="2"/>
      <w:sz w:val="21"/>
      <w:szCs w:val="24"/>
    </w:rPr>
  </w:style>
  <w:style w:type="paragraph" w:customStyle="1" w:styleId="18">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4627</Words>
  <Characters>4933</Characters>
  <Lines>40</Lines>
  <Paragraphs>11</Paragraphs>
  <TotalTime>0</TotalTime>
  <ScaleCrop>false</ScaleCrop>
  <LinksUpToDate>false</LinksUpToDate>
  <CharactersWithSpaces>5050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2025-09-09T15:38:00Z</dcterms:created>
  <dc:creator>Administrator</dc:creator>
  <cp:lastModifiedBy>xjx</cp:lastModifiedBy>
  <cp:lastPrinted>2025-09-17T12:10:00Z</cp:lastPrinted>
  <dcterms:modified xsi:type="dcterms:W3CDTF">2025-09-29T17:02:20Z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80C4C65D81B377C720B97068C7610B0F_41</vt:lpwstr>
  </property>
  <property fmtid="{D5CDD505-2E9C-101B-9397-08002B2CF9AE}" pid="4" name="KSOTemplateDocerSaveRecord">
    <vt:lpwstr>eyJoZGlkIjoiZjdjMzY1ZTZlMDZmMTZlNjZmZDk4ZWRiYmM1NGNjZGMiLCJ1c2VySWQiOiIyMzg2OTA5NzYifQ==</vt:lpwstr>
  </property>
</Properties>
</file>