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wordWrap/>
        <w:overflowPunct/>
        <w:topLinePunct w:val="0"/>
        <w:bidi w:val="0"/>
        <w:spacing w:line="243" w:lineRule="auto"/>
      </w:pPr>
    </w:p>
    <w:p>
      <w:pPr>
        <w:pStyle w:val="3"/>
        <w:keepNext w:val="0"/>
        <w:keepLines w:val="0"/>
        <w:pageBreakBefore w:val="0"/>
        <w:widowControl w:val="0"/>
        <w:wordWrap/>
        <w:overflowPunct/>
        <w:topLinePunct w:val="0"/>
        <w:bidi w:val="0"/>
        <w:spacing w:line="243" w:lineRule="auto"/>
      </w:pPr>
    </w:p>
    <w:p>
      <w:pPr>
        <w:pStyle w:val="3"/>
        <w:keepNext w:val="0"/>
        <w:keepLines w:val="0"/>
        <w:pageBreakBefore w:val="0"/>
        <w:widowControl w:val="0"/>
        <w:wordWrap/>
        <w:overflowPunct/>
        <w:topLinePunct w:val="0"/>
        <w:bidi w:val="0"/>
        <w:spacing w:line="244" w:lineRule="auto"/>
      </w:pPr>
    </w:p>
    <w:p>
      <w:pPr>
        <w:pStyle w:val="3"/>
        <w:keepNext w:val="0"/>
        <w:keepLines w:val="0"/>
        <w:pageBreakBefore w:val="0"/>
        <w:widowControl w:val="0"/>
        <w:wordWrap/>
        <w:overflowPunct/>
        <w:topLinePunct w:val="0"/>
        <w:bidi w:val="0"/>
        <w:spacing w:line="244" w:lineRule="auto"/>
      </w:pPr>
    </w:p>
    <w:p>
      <w:pPr>
        <w:pStyle w:val="3"/>
        <w:keepNext w:val="0"/>
        <w:keepLines w:val="0"/>
        <w:pageBreakBefore w:val="0"/>
        <w:widowControl w:val="0"/>
        <w:wordWrap/>
        <w:overflowPunct/>
        <w:topLinePunct w:val="0"/>
        <w:bidi w:val="0"/>
        <w:spacing w:line="244" w:lineRule="auto"/>
      </w:pPr>
    </w:p>
    <w:p>
      <w:pPr>
        <w:keepNext w:val="0"/>
        <w:keepLines w:val="0"/>
        <w:pageBreakBefore w:val="0"/>
        <w:widowControl w:val="0"/>
        <w:wordWrap/>
        <w:overflowPunct/>
        <w:topLinePunct w:val="0"/>
        <w:bidi w:val="0"/>
        <w:spacing w:before="214" w:line="504" w:lineRule="exact"/>
        <w:ind w:left="738"/>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3"/>
          <w:position w:val="-2"/>
          <w:sz w:val="44"/>
          <w:szCs w:val="44"/>
        </w:rPr>
        <w:t>深圳市安全生产培训和考核大纲</w:t>
      </w: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r>
        <w:rPr>
          <w:snapToGrid w:val="0"/>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12065</wp:posOffset>
                </wp:positionV>
                <wp:extent cx="5760085" cy="10795"/>
                <wp:effectExtent l="6350" t="2540" r="5715" b="5715"/>
                <wp:wrapNone/>
                <wp:docPr id="1421349968" name="任意多边形: 形状 2"/>
                <wp:cNvGraphicFramePr/>
                <a:graphic xmlns:a="http://schemas.openxmlformats.org/drawingml/2006/main">
                  <a:graphicData uri="http://schemas.microsoft.com/office/word/2010/wordprocessingShape">
                    <wps:wsp>
                      <wps:cNvSpPr>
                        <a:spLocks noChangeArrowheads="true"/>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false" upright="true">
                        <a:noAutofit/>
                      </wps:bodyPr>
                    </wps:wsp>
                  </a:graphicData>
                </a:graphic>
              </wp:anchor>
            </w:drawing>
          </mc:Choice>
          <mc:Fallback>
            <w:pict>
              <v:shape id="任意多边形: 形状 2" o:spid="_x0000_s1026" o:spt="100" style="position:absolute;left:0pt;margin-left:3.5pt;margin-top:0.95pt;height:0.85pt;width:453.55pt;z-index:251659264;mso-width-relative:page;mso-height-relative:page;" filled="f" stroked="t" coordsize="9070,17" o:gfxdata="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XKyTlNMAAAAFAQAADwAAAAAAAAABACAAAAA4AAAAZHJzL2Rv&#10;d25yZXYueG1sUEsBAhQAFAAAAAgAh07iQJVWQjLUAgAAxQUAAA4AAAAAAAAAAQAgAAAAOAEAAGRy&#10;cy9lMm9Eb2MueG1sUEsFBgAAAAAGAAYAWQEAAH4GAAAAAA==&#10;" path="m0,7l9070,8e">
                <v:path o:connectlocs="0,4445;5760085,5080" o:connectangles="0,0"/>
                <v:fill on="f" focussize="0,0"/>
                <v:stroke color="#080000" joinstyle="round"/>
                <v:imagedata o:title=""/>
                <o:lock v:ext="edit" aspectratio="f"/>
              </v:shape>
            </w:pict>
          </mc:Fallback>
        </mc:AlternateContent>
      </w:r>
    </w:p>
    <w:p>
      <w:pPr>
        <w:pStyle w:val="3"/>
        <w:keepNext w:val="0"/>
        <w:keepLines w:val="0"/>
        <w:pageBreakBefore w:val="0"/>
        <w:widowControl w:val="0"/>
        <w:wordWrap/>
        <w:overflowPunct/>
        <w:topLinePunct w:val="0"/>
        <w:bidi w:val="0"/>
        <w:spacing w:line="245" w:lineRule="auto"/>
        <w:rPr>
          <w:lang w:eastAsia="zh-CN"/>
        </w:rPr>
      </w:pPr>
    </w:p>
    <w:p>
      <w:pPr>
        <w:pStyle w:val="3"/>
        <w:keepNext w:val="0"/>
        <w:keepLines w:val="0"/>
        <w:pageBreakBefore w:val="0"/>
        <w:widowControl w:val="0"/>
        <w:wordWrap/>
        <w:overflowPunct/>
        <w:topLinePunct w:val="0"/>
        <w:bidi w:val="0"/>
        <w:spacing w:line="245" w:lineRule="auto"/>
        <w:rPr>
          <w:lang w:eastAsia="zh-CN"/>
        </w:rPr>
      </w:pPr>
    </w:p>
    <w:p>
      <w:pPr>
        <w:pStyle w:val="3"/>
        <w:keepNext w:val="0"/>
        <w:keepLines w:val="0"/>
        <w:pageBreakBefore w:val="0"/>
        <w:widowControl w:val="0"/>
        <w:wordWrap/>
        <w:overflowPunct/>
        <w:topLinePunct w:val="0"/>
        <w:bidi w:val="0"/>
        <w:spacing w:line="245" w:lineRule="auto"/>
        <w:rPr>
          <w:lang w:eastAsia="zh-CN"/>
        </w:rPr>
      </w:pPr>
    </w:p>
    <w:p>
      <w:pPr>
        <w:keepNext w:val="0"/>
        <w:keepLines w:val="0"/>
        <w:pageBreakBefore w:val="0"/>
        <w:widowControl w:val="0"/>
        <w:wordWrap/>
        <w:overflowPunct/>
        <w:topLinePunct w:val="0"/>
        <w:bidi w:val="0"/>
        <w:spacing w:before="172"/>
        <w:jc w:val="center"/>
        <w:rPr>
          <w:rFonts w:hint="eastAsia" w:ascii="方正小标宋_GBK" w:hAnsi="方正小标宋_GBK" w:eastAsia="方正小标宋_GBK" w:cs="方正小标宋_GBK"/>
          <w:spacing w:val="2"/>
          <w:position w:val="-2"/>
          <w:sz w:val="44"/>
          <w:szCs w:val="44"/>
        </w:rPr>
      </w:pPr>
      <w:r>
        <w:rPr>
          <w:rFonts w:hint="eastAsia" w:ascii="方正小标宋_GBK" w:hAnsi="方正小标宋_GBK" w:eastAsia="方正小标宋_GBK" w:cs="方正小标宋_GBK"/>
          <w:spacing w:val="3"/>
          <w:position w:val="-2"/>
          <w:sz w:val="44"/>
          <w:szCs w:val="44"/>
        </w:rPr>
        <w:t>深圳市非高危生产经营单位</w:t>
      </w:r>
      <w:r>
        <w:rPr>
          <w:rFonts w:hint="eastAsia" w:ascii="方正小标宋_GBK" w:hAnsi="方正小标宋_GBK" w:eastAsia="方正小标宋_GBK" w:cs="方正小标宋_GBK"/>
          <w:spacing w:val="3"/>
          <w:position w:val="-2"/>
          <w:sz w:val="44"/>
          <w:szCs w:val="44"/>
          <w:lang w:val="en-US" w:eastAsia="zh-CN"/>
        </w:rPr>
        <w:t>主要负责人</w:t>
      </w:r>
      <w:r>
        <w:rPr>
          <w:rFonts w:hint="eastAsia" w:ascii="方正小标宋_GBK" w:hAnsi="方正小标宋_GBK" w:eastAsia="方正小标宋_GBK" w:cs="方正小标宋_GBK"/>
          <w:spacing w:val="2"/>
          <w:position w:val="-2"/>
          <w:sz w:val="44"/>
          <w:szCs w:val="44"/>
        </w:rPr>
        <w:t>安全生产培训和考核大纲</w:t>
      </w:r>
    </w:p>
    <w:p>
      <w:pPr>
        <w:keepNext w:val="0"/>
        <w:keepLines w:val="0"/>
        <w:pageBreakBefore w:val="0"/>
        <w:widowControl w:val="0"/>
        <w:wordWrap/>
        <w:overflowPunct/>
        <w:topLinePunct w:val="0"/>
        <w:bidi w:val="0"/>
        <w:spacing w:before="17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position w:val="-2"/>
          <w:sz w:val="44"/>
          <w:szCs w:val="44"/>
        </w:rPr>
        <w:t>（征求意见稿）</w:t>
      </w:r>
    </w:p>
    <w:p>
      <w:pPr>
        <w:pStyle w:val="3"/>
        <w:keepNext w:val="0"/>
        <w:keepLines w:val="0"/>
        <w:pageBreakBefore w:val="0"/>
        <w:widowControl w:val="0"/>
        <w:wordWrap/>
        <w:overflowPunct/>
        <w:topLinePunct w:val="0"/>
        <w:bidi w:val="0"/>
        <w:spacing w:line="241" w:lineRule="auto"/>
        <w:rPr>
          <w:lang w:eastAsia="zh-CN"/>
        </w:rPr>
      </w:pPr>
      <w:bookmarkStart w:id="8" w:name="_GoBack"/>
      <w:bookmarkEnd w:id="8"/>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r>
        <w:rPr>
          <w:snapToGrid w:val="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157480</wp:posOffset>
                </wp:positionV>
                <wp:extent cx="5760085" cy="10795"/>
                <wp:effectExtent l="9525" t="5080" r="12065" b="3175"/>
                <wp:wrapNone/>
                <wp:docPr id="2059867008" name="任意多边形: 形状 1"/>
                <wp:cNvGraphicFramePr/>
                <a:graphic xmlns:a="http://schemas.openxmlformats.org/drawingml/2006/main">
                  <a:graphicData uri="http://schemas.microsoft.com/office/word/2010/wordprocessingShape">
                    <wps:wsp>
                      <wps:cNvSpPr>
                        <a:spLocks noChangeArrowheads="true"/>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false" upright="true">
                        <a:noAutofit/>
                      </wps:bodyPr>
                    </wps:wsp>
                  </a:graphicData>
                </a:graphic>
              </wp:anchor>
            </w:drawing>
          </mc:Choice>
          <mc:Fallback>
            <w:pict>
              <v:shape id="任意多边形: 形状 1" o:spid="_x0000_s1026" o:spt="100" style="position:absolute;left:0pt;margin-left:0.75pt;margin-top:12.4pt;height:0.85pt;width:453.55pt;z-index:251660288;mso-width-relative:page;mso-height-relative:page;" filled="f" stroked="t" coordsize="9070,17" o:gfxdata="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W&#10;AAAAZHJzL1BLAQIUABQAAAAIAIdO4kAhGxTG0wAAAAcBAAAPAAAAAAAAAAEAIAAAADgAAABkcnMv&#10;ZG93bnJldi54bWxQSwECFAAUAAAACACHTuJAncfHZ9YCAADFBQAADgAAAAAAAAABACAAAAA4AQAA&#10;ZHJzL2Uyb0RvYy54bWxQSwUGAAAAAAYABgBZAQAAgAYAAAAA&#10;" path="m0,7l9070,8e">
                <v:path o:connectlocs="0,4445;5760085,5080" o:connectangles="0,0"/>
                <v:fill on="f" focussize="0,0"/>
                <v:stroke color="#080000" joinstyle="round"/>
                <v:imagedata o:title=""/>
                <o:lock v:ext="edit" aspectratio="f"/>
              </v:shape>
            </w:pict>
          </mc:Fallback>
        </mc:AlternateContent>
      </w:r>
    </w:p>
    <w:p>
      <w:pPr>
        <w:pStyle w:val="3"/>
        <w:keepNext w:val="0"/>
        <w:keepLines w:val="0"/>
        <w:pageBreakBefore w:val="0"/>
        <w:widowControl w:val="0"/>
        <w:wordWrap/>
        <w:overflowPunct/>
        <w:topLinePunct w:val="0"/>
        <w:bidi w:val="0"/>
        <w:spacing w:line="242" w:lineRule="auto"/>
        <w:rPr>
          <w:lang w:eastAsia="zh-CN"/>
        </w:rPr>
      </w:pPr>
    </w:p>
    <w:p>
      <w:pPr>
        <w:keepNext w:val="0"/>
        <w:keepLines w:val="0"/>
        <w:pageBreakBefore w:val="0"/>
        <w:widowControl w:val="0"/>
        <w:wordWrap/>
        <w:overflowPunct/>
        <w:topLinePunct w:val="0"/>
        <w:bidi w:val="0"/>
        <w:rPr>
          <w:rFonts w:hint="eastAsia" w:ascii="黑体" w:hAnsi="黑体" w:eastAsia="黑体" w:cs="黑体"/>
          <w:spacing w:val="28"/>
          <w:sz w:val="28"/>
          <w:szCs w:val="28"/>
        </w:rPr>
      </w:pPr>
      <w:r>
        <w:rPr>
          <w:rFonts w:ascii="黑体" w:hAnsi="黑体" w:eastAsia="黑体" w:cs="黑体"/>
          <w:spacing w:val="28"/>
          <w:sz w:val="28"/>
          <w:szCs w:val="28"/>
        </w:rPr>
        <w:t>深圳市</w:t>
      </w:r>
      <w:r>
        <w:rPr>
          <w:rFonts w:hint="eastAsia" w:ascii="黑体" w:hAnsi="黑体" w:eastAsia="黑体" w:cs="黑体"/>
          <w:spacing w:val="28"/>
          <w:sz w:val="28"/>
          <w:szCs w:val="28"/>
        </w:rPr>
        <w:t>应急</w:t>
      </w:r>
      <w:r>
        <w:rPr>
          <w:rFonts w:ascii="黑体" w:hAnsi="黑体" w:eastAsia="黑体" w:cs="黑体"/>
          <w:spacing w:val="28"/>
          <w:sz w:val="28"/>
          <w:szCs w:val="28"/>
        </w:rPr>
        <w:t>管理局</w:t>
      </w:r>
      <w:r>
        <w:rPr>
          <w:rFonts w:ascii="黑体" w:hAnsi="黑体" w:eastAsia="黑体" w:cs="黑体"/>
          <w:spacing w:val="1"/>
          <w:sz w:val="28"/>
          <w:szCs w:val="28"/>
        </w:rPr>
        <w:t xml:space="preserve">                  </w:t>
      </w:r>
      <w:r>
        <w:rPr>
          <w:rFonts w:hint="eastAsia" w:ascii="黑体" w:hAnsi="黑体" w:eastAsia="黑体" w:cs="黑体"/>
          <w:spacing w:val="1"/>
          <w:sz w:val="28"/>
          <w:szCs w:val="28"/>
        </w:rPr>
        <w:t xml:space="preserve">           </w:t>
      </w:r>
      <w:r>
        <w:rPr>
          <w:rFonts w:ascii="黑体" w:hAnsi="黑体" w:eastAsia="黑体" w:cs="黑体"/>
          <w:spacing w:val="28"/>
          <w:sz w:val="28"/>
          <w:szCs w:val="28"/>
        </w:rPr>
        <w:t>20</w:t>
      </w:r>
      <w:r>
        <w:rPr>
          <w:rFonts w:hint="eastAsia" w:ascii="黑体" w:hAnsi="黑体" w:eastAsia="黑体" w:cs="黑体"/>
          <w:spacing w:val="28"/>
          <w:sz w:val="28"/>
          <w:szCs w:val="28"/>
        </w:rPr>
        <w:t>25</w:t>
      </w:r>
      <w:r>
        <w:rPr>
          <w:rFonts w:ascii="黑体" w:hAnsi="黑体" w:eastAsia="黑体" w:cs="黑体"/>
          <w:spacing w:val="28"/>
          <w:sz w:val="28"/>
          <w:szCs w:val="28"/>
        </w:rPr>
        <w:t>年</w:t>
      </w:r>
      <w:r>
        <w:rPr>
          <w:rFonts w:hint="eastAsia" w:ascii="黑体" w:hAnsi="黑体" w:eastAsia="黑体" w:cs="黑体"/>
          <w:spacing w:val="28"/>
          <w:sz w:val="28"/>
          <w:szCs w:val="28"/>
        </w:rPr>
        <w:t>XX</w:t>
      </w:r>
      <w:r>
        <w:rPr>
          <w:rFonts w:ascii="黑体" w:hAnsi="黑体" w:eastAsia="黑体" w:cs="黑体"/>
          <w:spacing w:val="28"/>
          <w:sz w:val="28"/>
          <w:szCs w:val="28"/>
        </w:rPr>
        <w:t>月</w:t>
      </w:r>
    </w:p>
    <w:p>
      <w:pPr>
        <w:keepNext w:val="0"/>
        <w:keepLines w:val="0"/>
        <w:pageBreakBefore w:val="0"/>
        <w:widowControl w:val="0"/>
        <w:wordWrap/>
        <w:overflowPunct/>
        <w:topLinePunct w:val="0"/>
        <w:bidi w:val="0"/>
        <w:jc w:val="left"/>
        <w:rPr>
          <w:rFonts w:hint="eastAsia" w:ascii="黑体" w:hAnsi="黑体" w:eastAsia="黑体" w:cs="黑体"/>
          <w:spacing w:val="28"/>
          <w:sz w:val="28"/>
          <w:szCs w:val="28"/>
        </w:rPr>
      </w:pPr>
      <w:r>
        <w:rPr>
          <w:rFonts w:hint="eastAsia" w:ascii="黑体" w:hAnsi="黑体" w:eastAsia="黑体" w:cs="黑体"/>
          <w:spacing w:val="28"/>
          <w:sz w:val="28"/>
          <w:szCs w:val="28"/>
        </w:rPr>
        <w:br w:type="page"/>
      </w:r>
    </w:p>
    <w:p>
      <w:pPr>
        <w:keepNext w:val="0"/>
        <w:keepLines w:val="0"/>
        <w:pageBreakBefore w:val="0"/>
        <w:widowControl w:val="0"/>
        <w:wordWrap/>
        <w:overflowPunct/>
        <w:topLinePunct w:val="0"/>
        <w:bidi w:val="0"/>
      </w:pPr>
    </w:p>
    <w:sdt>
      <w:sdtPr>
        <w:rPr>
          <w:rFonts w:ascii="宋体" w:hAnsi="宋体" w:eastAsia="宋体"/>
        </w:rPr>
        <w:id w:val="308213637"/>
        <w15:color w:val="DBDBDB"/>
        <w:docPartObj>
          <w:docPartGallery w:val="Table of Contents"/>
          <w:docPartUnique/>
        </w:docPartObj>
      </w:sdtPr>
      <w:sdtEndPr>
        <w:rPr>
          <w:rFonts w:asciiTheme="minorHAnsi" w:hAnsiTheme="minorHAnsi" w:eastAsiaTheme="minorEastAsia"/>
          <w:szCs w:val="28"/>
        </w:rPr>
      </w:sdtEndPr>
      <w:sdtContent>
        <w:p>
          <w:pPr>
            <w:keepNext w:val="0"/>
            <w:keepLines w:val="0"/>
            <w:pageBreakBefore w:val="0"/>
            <w:widowControl w:val="0"/>
            <w:wordWrap/>
            <w:overflowPunct/>
            <w:topLinePunct w:val="0"/>
            <w:bidi w:val="0"/>
            <w:spacing w:after="240" w:afterLines="100"/>
            <w:jc w:val="center"/>
          </w:pPr>
          <w:r>
            <w:rPr>
              <w:rFonts w:hint="eastAsia" w:ascii="黑体" w:hAnsi="黑体" w:eastAsia="黑体" w:cs="黑体"/>
              <w:sz w:val="48"/>
              <w:szCs w:val="48"/>
            </w:rPr>
            <w:t>目录</w:t>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rPr>
              <w:sz w:val="32"/>
              <w:szCs w:val="32"/>
            </w:rPr>
            <w:fldChar w:fldCharType="begin"/>
          </w:r>
          <w:r>
            <w:rPr>
              <w:sz w:val="32"/>
              <w:szCs w:val="32"/>
            </w:rPr>
            <w:instrText xml:space="preserve">TOC \o "1-3" \h \u </w:instrText>
          </w:r>
          <w:r>
            <w:rPr>
              <w:sz w:val="32"/>
              <w:szCs w:val="32"/>
            </w:rPr>
            <w:fldChar w:fldCharType="separate"/>
          </w:r>
          <w:r>
            <w:fldChar w:fldCharType="begin"/>
          </w:r>
          <w:r>
            <w:instrText xml:space="preserve"> HYPERLINK \l "_Toc207271446" </w:instrText>
          </w:r>
          <w:r>
            <w:fldChar w:fldCharType="separate"/>
          </w:r>
          <w:r>
            <w:rPr>
              <w:rStyle w:val="13"/>
              <w:rFonts w:hint="eastAsia" w:ascii="黑体" w:hAnsi="黑体" w:eastAsia="黑体" w:cs="黑体"/>
              <w:snapToGrid w:val="0"/>
              <w:color w:val="auto"/>
              <w:spacing w:val="-8"/>
              <w:kern w:val="0"/>
              <w:sz w:val="32"/>
              <w:szCs w:val="32"/>
            </w:rPr>
            <w:t>1 范围</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_Toc207271446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"_Toc207271447" </w:instrText>
          </w:r>
          <w:r>
            <w:fldChar w:fldCharType="separate"/>
          </w:r>
          <w:r>
            <w:rPr>
              <w:rStyle w:val="13"/>
              <w:rFonts w:hint="eastAsia" w:ascii="黑体" w:hAnsi="黑体" w:eastAsia="黑体" w:cs="黑体"/>
              <w:snapToGrid w:val="0"/>
              <w:color w:val="auto"/>
              <w:spacing w:val="-8"/>
              <w:kern w:val="0"/>
              <w:sz w:val="32"/>
              <w:szCs w:val="32"/>
            </w:rPr>
            <w:t>2 编制依据</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_Toc207271447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"_Toc207271448" </w:instrText>
          </w:r>
          <w:r>
            <w:fldChar w:fldCharType="separate"/>
          </w:r>
          <w:r>
            <w:rPr>
              <w:rStyle w:val="13"/>
              <w:rFonts w:hint="eastAsia" w:ascii="黑体" w:hAnsi="黑体" w:eastAsia="黑体" w:cs="黑体"/>
              <w:snapToGrid w:val="0"/>
              <w:color w:val="auto"/>
              <w:spacing w:val="-8"/>
              <w:kern w:val="0"/>
              <w:sz w:val="32"/>
              <w:szCs w:val="32"/>
            </w:rPr>
            <w:t>3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_Toc207271448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"_Toc207271449" </w:instrText>
          </w:r>
          <w:r>
            <w:fldChar w:fldCharType="separate"/>
          </w:r>
          <w:r>
            <w:rPr>
              <w:rStyle w:val="13"/>
              <w:rFonts w:hint="eastAsia" w:ascii="黑体" w:hAnsi="黑体" w:eastAsia="黑体" w:cs="黑体"/>
              <w:snapToGrid w:val="0"/>
              <w:color w:val="auto"/>
              <w:spacing w:val="-8"/>
              <w:kern w:val="0"/>
              <w:sz w:val="32"/>
              <w:szCs w:val="32"/>
            </w:rPr>
            <w:t>4 培训大纲</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_Toc207271449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"_Toc207271450" </w:instrText>
          </w:r>
          <w:r>
            <w:fldChar w:fldCharType="separate"/>
          </w:r>
          <w:r>
            <w:rPr>
              <w:rStyle w:val="13"/>
              <w:rFonts w:hint="eastAsia" w:ascii="黑体" w:hAnsi="黑体" w:eastAsia="黑体" w:cs="黑体"/>
              <w:snapToGrid w:val="0"/>
              <w:color w:val="auto"/>
              <w:spacing w:val="-8"/>
              <w:kern w:val="0"/>
              <w:sz w:val="32"/>
              <w:szCs w:val="32"/>
            </w:rPr>
            <w:t>5 考核标准</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_Toc207271450 \h</w:instrText>
          </w:r>
          <w:r>
            <w:rPr>
              <w:rFonts w:hint="eastAsia"/>
              <w:sz w:val="32"/>
              <w:szCs w:val="32"/>
            </w:rPr>
            <w:instrText xml:space="preserve"> </w:instrText>
          </w:r>
          <w:r>
            <w:rPr>
              <w:rFonts w:hint="eastAsia"/>
              <w:sz w:val="32"/>
              <w:szCs w:val="32"/>
            </w:rPr>
            <w:fldChar w:fldCharType="separate"/>
          </w:r>
          <w:r>
            <w:rPr>
              <w:sz w:val="32"/>
              <w:szCs w:val="32"/>
            </w:rPr>
            <w:t>7</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"_Toc207271451" </w:instrText>
          </w:r>
          <w:r>
            <w:fldChar w:fldCharType="separate"/>
          </w:r>
          <w:r>
            <w:rPr>
              <w:rStyle w:val="13"/>
              <w:rFonts w:hint="eastAsia" w:ascii="黑体" w:hAnsi="黑体" w:eastAsia="黑体" w:cs="黑体"/>
              <w:color w:val="auto"/>
              <w:spacing w:val="-8"/>
              <w:sz w:val="32"/>
              <w:szCs w:val="32"/>
            </w:rPr>
            <w:t>6 再培训要求和要点</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_Toc207271451 \h</w:instrText>
          </w:r>
          <w:r>
            <w:rPr>
              <w:rFonts w:hint="eastAsia"/>
              <w:sz w:val="32"/>
              <w:szCs w:val="32"/>
            </w:rPr>
            <w:instrText xml:space="preserve"> </w:instrText>
          </w:r>
          <w:r>
            <w:rPr>
              <w:rFonts w:hint="eastAsia"/>
              <w:sz w:val="32"/>
              <w:szCs w:val="32"/>
            </w:rPr>
            <w:fldChar w:fldCharType="separate"/>
          </w:r>
          <w:r>
            <w:rPr>
              <w:sz w:val="32"/>
              <w:szCs w:val="32"/>
            </w:rPr>
            <w:t>14</w:t>
          </w:r>
          <w:r>
            <w:rPr>
              <w:rFonts w:hint="eastAsia"/>
              <w:sz w:val="32"/>
              <w:szCs w:val="32"/>
            </w:rPr>
            <w:fldChar w:fldCharType="end"/>
          </w:r>
          <w:r>
            <w:rPr>
              <w:rFonts w:hint="eastAsia"/>
              <w:sz w:val="32"/>
              <w:szCs w:val="32"/>
            </w:rPr>
            <w:fldChar w:fldCharType="end"/>
          </w:r>
        </w:p>
        <w:p>
          <w:pPr>
            <w:keepNext w:val="0"/>
            <w:keepLines w:val="0"/>
            <w:pageBreakBefore w:val="0"/>
            <w:widowControl w:val="0"/>
            <w:wordWrap/>
            <w:overflowPunct/>
            <w:topLinePunct w:val="0"/>
            <w:bidi w:val="0"/>
            <w:rPr>
              <w:szCs w:val="28"/>
            </w:rPr>
          </w:pPr>
          <w:r>
            <w:rPr>
              <w:sz w:val="32"/>
              <w:szCs w:val="32"/>
            </w:rPr>
            <w:fldChar w:fldCharType="end"/>
          </w:r>
        </w:p>
      </w:sdtContent>
    </w:sdt>
    <w:p>
      <w:pPr>
        <w:keepNext w:val="0"/>
        <w:keepLines w:val="0"/>
        <w:pageBreakBefore w:val="0"/>
        <w:widowControl w:val="0"/>
        <w:wordWrap/>
        <w:overflowPunct/>
        <w:topLinePunct w:val="0"/>
        <w:bidi w:val="0"/>
        <w:rPr>
          <w:szCs w:val="28"/>
        </w:rPr>
        <w:sectPr>
          <w:pgSz w:w="11910" w:h="16845"/>
          <w:pgMar w:top="1431" w:right="1591" w:bottom="0" w:left="1478" w:header="0" w:footer="0" w:gutter="0"/>
          <w:cols w:space="720" w:num="1"/>
        </w:sectPr>
      </w:pPr>
    </w:p>
    <w:p>
      <w:pPr>
        <w:keepNext w:val="0"/>
        <w:keepLines w:val="0"/>
        <w:pageBreakBefore w:val="0"/>
        <w:widowControl w:val="0"/>
        <w:wordWrap/>
        <w:overflowPunct/>
        <w:topLinePunct w:val="0"/>
        <w:bidi w:val="0"/>
        <w:adjustRightInd w:val="0"/>
        <w:spacing w:line="600" w:lineRule="exact"/>
        <w:jc w:val="center"/>
        <w:rPr>
          <w:rFonts w:hint="eastAsia" w:ascii="方正小标宋_GBK" w:hAnsi="黑体" w:eastAsia="方正小标宋_GBK" w:cs="黑体"/>
          <w:kern w:val="0"/>
          <w:sz w:val="44"/>
          <w:szCs w:val="44"/>
          <w:lang w:bidi="ar"/>
        </w:rPr>
      </w:pPr>
      <w:r>
        <w:rPr>
          <w:rFonts w:hint="eastAsia" w:ascii="方正小标宋_GBK" w:hAnsi="方正小标宋_GBK" w:eastAsia="方正小标宋_GBK" w:cs="方正小标宋_GBK"/>
          <w:snapToGrid w:val="0"/>
          <w:spacing w:val="3"/>
          <w:kern w:val="0"/>
          <w:position w:val="-2"/>
          <w:sz w:val="44"/>
          <w:szCs w:val="44"/>
        </w:rPr>
        <w:t>深圳市非高危生产经营单位</w:t>
      </w:r>
      <w:r>
        <w:rPr>
          <w:rFonts w:hint="eastAsia" w:ascii="方正小标宋_GBK" w:hAnsi="方正小标宋_GBK" w:eastAsia="方正小标宋_GBK" w:cs="方正小标宋_GBK"/>
          <w:snapToGrid w:val="0"/>
          <w:spacing w:val="3"/>
          <w:kern w:val="0"/>
          <w:position w:val="-2"/>
          <w:sz w:val="44"/>
          <w:szCs w:val="44"/>
          <w:lang w:val="en-US" w:eastAsia="zh-CN"/>
        </w:rPr>
        <w:t>主要负责人</w:t>
      </w:r>
      <w:r>
        <w:rPr>
          <w:rFonts w:hint="eastAsia" w:ascii="方正小标宋_GBK" w:hAnsi="方正小标宋_GBK" w:eastAsia="方正小标宋_GBK" w:cs="方正小标宋_GBK"/>
          <w:snapToGrid w:val="0"/>
          <w:spacing w:val="3"/>
          <w:kern w:val="0"/>
          <w:position w:val="-2"/>
          <w:sz w:val="44"/>
          <w:szCs w:val="44"/>
        </w:rPr>
        <w:t>安全生产培训和考核大纲</w:t>
      </w:r>
    </w:p>
    <w:p>
      <w:pPr>
        <w:keepNext w:val="0"/>
        <w:keepLines w:val="0"/>
        <w:pageBreakBefore w:val="0"/>
        <w:widowControl w:val="0"/>
        <w:wordWrap/>
        <w:overflowPunct/>
        <w:topLinePunct w:val="0"/>
        <w:bidi w:val="0"/>
        <w:jc w:val="center"/>
        <w:outlineLvl w:val="0"/>
        <w:rPr>
          <w:rFonts w:hint="eastAsia" w:ascii="黑体" w:hAnsi="黑体" w:eastAsia="黑体" w:cs="黑体"/>
          <w:b/>
          <w:bCs/>
          <w:spacing w:val="-8"/>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0" w:name="_Toc207271446"/>
      <w:r>
        <w:rPr>
          <w:rFonts w:ascii="黑体" w:hAnsi="黑体" w:eastAsia="黑体" w:cs="黑体"/>
          <w:b/>
          <w:bCs/>
          <w:snapToGrid w:val="0"/>
          <w:spacing w:val="-8"/>
          <w:kern w:val="0"/>
          <w:sz w:val="32"/>
          <w:szCs w:val="32"/>
        </w:rPr>
        <w:t>1</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范围</w:t>
      </w:r>
      <w:bookmarkEnd w:id="0"/>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本大纲规定了深圳市非高危</w:t>
      </w:r>
      <w:r>
        <w:rPr>
          <w:rFonts w:hint="eastAsia" w:ascii="仿宋_GB2312" w:hAnsi="仿宋_GB2312" w:eastAsia="仿宋_GB2312" w:cs="仿宋_GB2312"/>
          <w:snapToGrid w:val="0"/>
          <w:spacing w:val="5"/>
          <w:kern w:val="0"/>
          <w:sz w:val="32"/>
          <w:szCs w:val="32"/>
          <w:lang w:eastAsia="zh-CN"/>
        </w:rPr>
        <w:t>生产经营单位主要负责人</w:t>
      </w:r>
      <w:r>
        <w:rPr>
          <w:rFonts w:hint="eastAsia" w:ascii="仿宋_GB2312" w:hAnsi="仿宋_GB2312" w:eastAsia="仿宋_GB2312" w:cs="仿宋_GB2312"/>
          <w:snapToGrid w:val="0"/>
          <w:spacing w:val="5"/>
          <w:kern w:val="0"/>
          <w:sz w:val="32"/>
          <w:szCs w:val="32"/>
        </w:rPr>
        <w:t>的安全生产</w:t>
      </w:r>
      <w:r>
        <w:rPr>
          <w:rFonts w:hint="eastAsia" w:ascii="仿宋_GB2312" w:hAnsi="仿宋_GB2312" w:eastAsia="仿宋_GB2312" w:cs="仿宋_GB2312"/>
          <w:snapToGrid w:val="0"/>
          <w:spacing w:val="2"/>
          <w:kern w:val="0"/>
          <w:sz w:val="32"/>
          <w:szCs w:val="32"/>
        </w:rPr>
        <w:t>培训要求、内容</w:t>
      </w:r>
      <w:r>
        <w:rPr>
          <w:rFonts w:hint="eastAsia" w:ascii="仿宋_GB2312" w:hAnsi="仿宋_GB2312" w:eastAsia="仿宋_GB2312" w:cs="仿宋_GB2312"/>
          <w:snapToGrid w:val="0"/>
          <w:spacing w:val="2"/>
          <w:kern w:val="0"/>
          <w:sz w:val="32"/>
          <w:szCs w:val="32"/>
          <w:lang w:eastAsia="zh-CN"/>
        </w:rPr>
        <w:t>及其</w:t>
      </w:r>
      <w:r>
        <w:rPr>
          <w:rFonts w:hint="eastAsia" w:ascii="仿宋_GB2312" w:hAnsi="仿宋_GB2312" w:eastAsia="仿宋_GB2312" w:cs="仿宋_GB2312"/>
          <w:snapToGrid w:val="0"/>
          <w:spacing w:val="2"/>
          <w:kern w:val="0"/>
          <w:sz w:val="32"/>
          <w:szCs w:val="32"/>
        </w:rPr>
        <w:t>考核办法、考核要点</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本大纲适用于深圳市（含深汕特别合作区）非高危</w:t>
      </w:r>
      <w:r>
        <w:rPr>
          <w:rFonts w:hint="eastAsia" w:ascii="仿宋_GB2312" w:hAnsi="仿宋_GB2312" w:eastAsia="仿宋_GB2312" w:cs="仿宋_GB2312"/>
          <w:snapToGrid w:val="0"/>
          <w:spacing w:val="5"/>
          <w:kern w:val="0"/>
          <w:sz w:val="32"/>
          <w:szCs w:val="32"/>
          <w:lang w:eastAsia="zh-CN"/>
        </w:rPr>
        <w:t>生产经营单位主要负责人</w:t>
      </w:r>
      <w:r>
        <w:rPr>
          <w:rFonts w:hint="eastAsia" w:ascii="仿宋_GB2312" w:hAnsi="仿宋_GB2312" w:eastAsia="仿宋_GB2312" w:cs="仿宋_GB2312"/>
          <w:snapToGrid w:val="0"/>
          <w:spacing w:val="5"/>
          <w:kern w:val="0"/>
          <w:sz w:val="32"/>
          <w:szCs w:val="32"/>
        </w:rPr>
        <w:t>的安全生产</w:t>
      </w:r>
      <w:r>
        <w:rPr>
          <w:rFonts w:hint="eastAsia" w:ascii="仿宋_GB2312" w:hAnsi="仿宋_GB2312" w:eastAsia="仿宋_GB2312" w:cs="仿宋_GB2312"/>
          <w:sz w:val="32"/>
          <w:szCs w:val="32"/>
        </w:rPr>
        <w:t>培训与考核</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1" w:name="_Toc207271447"/>
      <w:r>
        <w:rPr>
          <w:rFonts w:ascii="黑体" w:hAnsi="黑体" w:eastAsia="黑体" w:cs="黑体"/>
          <w:b/>
          <w:bCs/>
          <w:snapToGrid w:val="0"/>
          <w:spacing w:val="-8"/>
          <w:kern w:val="0"/>
          <w:sz w:val="32"/>
          <w:szCs w:val="32"/>
        </w:rPr>
        <w:t>2</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编制依据</w:t>
      </w:r>
      <w:bookmarkEnd w:id="1"/>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pacing w:val="5"/>
          <w:sz w:val="32"/>
          <w:szCs w:val="32"/>
        </w:rPr>
        <w:t>本大纲根据下列法律法规规章要求制定，</w:t>
      </w:r>
      <w:r>
        <w:rPr>
          <w:rFonts w:hint="eastAsia" w:ascii="仿宋_GB2312" w:hAnsi="仿宋_GB2312" w:eastAsia="仿宋_GB2312" w:cs="仿宋_GB2312"/>
          <w:sz w:val="32"/>
          <w:szCs w:val="32"/>
        </w:rPr>
        <w:t>不注日期的引用文件，其最新版本适用于本大纲</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《中华人民共和国安全生产法》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《生产经营单位安全培训规定》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《安全生产培训管理办法》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《广东省安全生产条例》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《深圳经济特区安全生产监督管理条例》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《深圳经济特区灾害事故应急处置条例》</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2" w:name="_Toc207271448"/>
      <w:r>
        <w:rPr>
          <w:rFonts w:ascii="黑体" w:hAnsi="黑体" w:eastAsia="黑体" w:cs="黑体"/>
          <w:b/>
          <w:bCs/>
          <w:snapToGrid w:val="0"/>
          <w:spacing w:val="-8"/>
          <w:kern w:val="0"/>
          <w:sz w:val="32"/>
          <w:szCs w:val="32"/>
        </w:rPr>
        <w:t>3</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术语和定义</w:t>
      </w:r>
      <w:bookmarkEnd w:id="2"/>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下列术语和定义适用于本大纲。</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3.1 高危生产经营单位</w:t>
      </w:r>
    </w:p>
    <w:p>
      <w:pPr>
        <w:keepNext w:val="0"/>
        <w:keepLines w:val="0"/>
        <w:pageBreakBefore w:val="0"/>
        <w:widowControl w:val="0"/>
        <w:wordWrap/>
        <w:overflowPunct/>
        <w:topLinePunct w:val="0"/>
        <w:bidi w:val="0"/>
        <w:spacing w:line="560" w:lineRule="exact"/>
        <w:ind w:firstLine="660" w:firstLineChars="200"/>
        <w:jc w:val="lef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矿山、金属冶炼、建筑施工、运输单位；危险物品的生产、经营、储存、装卸单位；锂电池的生产、加工、储存单位；粉尘涉爆、涉氨制冷单位；法律、法规、规章和国务院文件规定的其他高危生产经营单位。</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3.2 非高危生产经营单位</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除上述高危生产经营单位以外的</w:t>
      </w:r>
      <w:r>
        <w:rPr>
          <w:rFonts w:hint="eastAsia" w:ascii="仿宋_GB2312" w:hAnsi="仿宋_GB2312" w:eastAsia="仿宋_GB2312" w:cs="仿宋_GB2312"/>
          <w:snapToGrid w:val="0"/>
          <w:spacing w:val="5"/>
          <w:kern w:val="0"/>
          <w:sz w:val="32"/>
          <w:szCs w:val="32"/>
          <w:lang w:eastAsia="zh-CN"/>
        </w:rPr>
        <w:t>，</w:t>
      </w:r>
      <w:r>
        <w:rPr>
          <w:rFonts w:hint="eastAsia" w:ascii="仿宋_GB2312" w:hAnsi="仿宋_GB2312" w:eastAsia="仿宋_GB2312" w:cs="仿宋_GB2312"/>
          <w:snapToGrid w:val="0"/>
          <w:spacing w:val="5"/>
          <w:kern w:val="0"/>
          <w:sz w:val="32"/>
          <w:szCs w:val="32"/>
        </w:rPr>
        <w:t>从业人员在50人以上的工业企业</w:t>
      </w:r>
      <w:r>
        <w:rPr>
          <w:rFonts w:hint="eastAsia" w:ascii="仿宋_GB2312" w:hAnsi="仿宋_GB2312" w:eastAsia="仿宋_GB2312" w:cs="仿宋_GB2312"/>
          <w:snapToGrid w:val="0"/>
          <w:spacing w:val="5"/>
          <w:kern w:val="0"/>
          <w:sz w:val="32"/>
          <w:szCs w:val="32"/>
          <w:lang w:val="en-US" w:eastAsia="zh-CN"/>
        </w:rPr>
        <w:t>以及</w:t>
      </w:r>
      <w:r>
        <w:rPr>
          <w:rFonts w:hint="eastAsia" w:ascii="仿宋_GB2312" w:hAnsi="仿宋_GB2312" w:eastAsia="仿宋_GB2312" w:cs="仿宋_GB2312"/>
          <w:snapToGrid w:val="0"/>
          <w:spacing w:val="5"/>
          <w:kern w:val="0"/>
          <w:sz w:val="32"/>
          <w:szCs w:val="32"/>
        </w:rPr>
        <w:t>从业人员在100人以上的</w:t>
      </w:r>
      <w:r>
        <w:rPr>
          <w:rFonts w:hint="eastAsia" w:ascii="仿宋_GB2312" w:hAnsi="仿宋_GB2312" w:eastAsia="仿宋_GB2312" w:cs="仿宋_GB2312"/>
          <w:snapToGrid w:val="0"/>
          <w:spacing w:val="5"/>
          <w:kern w:val="0"/>
          <w:sz w:val="32"/>
          <w:szCs w:val="32"/>
          <w:lang w:eastAsia="zh-CN"/>
        </w:rPr>
        <w:t>其他</w:t>
      </w:r>
      <w:r>
        <w:rPr>
          <w:rFonts w:hint="eastAsia" w:ascii="仿宋_GB2312" w:hAnsi="仿宋_GB2312" w:eastAsia="仿宋_GB2312" w:cs="仿宋_GB2312"/>
          <w:snapToGrid w:val="0"/>
          <w:spacing w:val="5"/>
          <w:kern w:val="0"/>
          <w:sz w:val="32"/>
          <w:szCs w:val="32"/>
        </w:rPr>
        <w:t>生产经营单位。</w:t>
      </w:r>
    </w:p>
    <w:p>
      <w:pPr>
        <w:keepNext w:val="0"/>
        <w:keepLines w:val="0"/>
        <w:pageBreakBefore w:val="0"/>
        <w:widowControl w:val="0"/>
        <w:wordWrap/>
        <w:overflowPunct/>
        <w:topLinePunct w:val="0"/>
        <w:bidi w:val="0"/>
        <w:spacing w:line="700" w:lineRule="exact"/>
        <w:ind w:firstLine="650" w:firstLineChars="200"/>
        <w:rPr>
          <w:rFonts w:hint="eastAsia" w:ascii="楷体_GB2312" w:hAnsi="楷体" w:eastAsia="楷体_GB2312" w:cs="楷体"/>
          <w:b/>
          <w:bCs/>
          <w:snapToGrid/>
          <w:spacing w:val="2"/>
          <w:kern w:val="2"/>
          <w:sz w:val="32"/>
          <w:szCs w:val="32"/>
          <w:lang w:eastAsia="zh-CN"/>
        </w:rPr>
      </w:pPr>
      <w:bookmarkStart w:id="3" w:name="_Toc207271449"/>
      <w:r>
        <w:rPr>
          <w:rFonts w:hint="eastAsia" w:ascii="楷体_GB2312" w:hAnsi="楷体" w:eastAsia="楷体_GB2312" w:cs="楷体"/>
          <w:b/>
          <w:bCs/>
          <w:snapToGrid/>
          <w:spacing w:val="2"/>
          <w:kern w:val="2"/>
          <w:sz w:val="32"/>
          <w:szCs w:val="32"/>
          <w:lang w:eastAsia="zh-CN"/>
        </w:rPr>
        <w:t>3.</w:t>
      </w:r>
      <w:r>
        <w:rPr>
          <w:rFonts w:hint="eastAsia" w:ascii="楷体_GB2312" w:hAnsi="楷体" w:eastAsia="楷体_GB2312" w:cs="楷体"/>
          <w:b/>
          <w:bCs/>
          <w:snapToGrid/>
          <w:spacing w:val="2"/>
          <w:kern w:val="2"/>
          <w:sz w:val="32"/>
          <w:szCs w:val="32"/>
          <w:lang w:val="en-US" w:eastAsia="zh-CN"/>
        </w:rPr>
        <w:t>3</w:t>
      </w:r>
      <w:r>
        <w:rPr>
          <w:rFonts w:hint="eastAsia" w:ascii="楷体_GB2312" w:hAnsi="楷体" w:eastAsia="楷体_GB2312" w:cs="楷体"/>
          <w:b/>
          <w:bCs/>
          <w:snapToGrid/>
          <w:spacing w:val="2"/>
          <w:kern w:val="2"/>
          <w:sz w:val="32"/>
          <w:szCs w:val="32"/>
          <w:lang w:eastAsia="zh-CN"/>
        </w:rPr>
        <w:t xml:space="preserve"> 非高危生产经营单位主要负责人</w:t>
      </w:r>
    </w:p>
    <w:p>
      <w:pPr>
        <w:spacing w:line="560" w:lineRule="exact"/>
        <w:ind w:firstLine="660" w:firstLineChars="200"/>
        <w:jc w:val="left"/>
        <w:rPr>
          <w:rFonts w:hint="eastAsia" w:ascii="仿宋_GB2312" w:hAnsi="仿宋_GB2312" w:eastAsia="仿宋_GB2312" w:cs="仿宋_GB2312"/>
          <w:snapToGrid w:val="0"/>
          <w:spacing w:val="5"/>
          <w:kern w:val="0"/>
          <w:sz w:val="32"/>
          <w:szCs w:val="32"/>
          <w:highlight w:val="none"/>
        </w:rPr>
      </w:pPr>
      <w:r>
        <w:rPr>
          <w:rFonts w:hint="eastAsia" w:ascii="仿宋_GB2312" w:hAnsi="仿宋_GB2312" w:eastAsia="仿宋_GB2312" w:cs="仿宋_GB2312"/>
          <w:snapToGrid w:val="0"/>
          <w:spacing w:val="5"/>
          <w:kern w:val="0"/>
          <w:sz w:val="32"/>
          <w:szCs w:val="32"/>
          <w:highlight w:val="none"/>
        </w:rPr>
        <w:t>在生产经营单位中承担全面领导责任的法定代表人、实际控制人等主要决策人。</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4</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培训大纲</w:t>
      </w:r>
      <w:bookmarkEnd w:id="3"/>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4.1 培训要求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4.1.1非高危</w:t>
      </w:r>
      <w:r>
        <w:rPr>
          <w:rFonts w:hint="eastAsia" w:ascii="仿宋_GB2312" w:hAnsi="仿宋_GB2312" w:eastAsia="仿宋_GB2312" w:cs="仿宋_GB2312"/>
          <w:snapToGrid w:val="0"/>
          <w:spacing w:val="5"/>
          <w:kern w:val="0"/>
          <w:sz w:val="32"/>
          <w:szCs w:val="32"/>
          <w:lang w:eastAsia="zh-CN"/>
        </w:rPr>
        <w:t>生产经营单位主要负责人</w:t>
      </w:r>
      <w:r>
        <w:rPr>
          <w:rFonts w:hint="eastAsia" w:ascii="仿宋_GB2312" w:hAnsi="仿宋_GB2312" w:eastAsia="仿宋_GB2312" w:cs="仿宋_GB2312"/>
          <w:snapToGrid w:val="0"/>
          <w:spacing w:val="5"/>
          <w:kern w:val="0"/>
          <w:sz w:val="32"/>
          <w:szCs w:val="32"/>
        </w:rPr>
        <w:t>应当接受安全生产培训，具备与本单位所从事的生产经营活动相适应的安全生产知识和安全生产管理能力。</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4.1.2 培训应按照国家、广东省和深圳市有关安全生产培训的规定组织进行。具备安全培训条件的非高危生产经营单位，应当以自主培训为主</w:t>
      </w:r>
      <w:r>
        <w:rPr>
          <w:rFonts w:hint="eastAsia" w:ascii="仿宋_GB2312" w:hAnsi="仿宋_GB2312" w:eastAsia="仿宋_GB2312" w:cs="仿宋_GB2312"/>
          <w:snapToGrid w:val="0"/>
          <w:spacing w:val="5"/>
          <w:kern w:val="0"/>
          <w:sz w:val="32"/>
          <w:szCs w:val="32"/>
          <w:lang w:eastAsia="zh-CN"/>
        </w:rPr>
        <w:t>，</w:t>
      </w:r>
      <w:r>
        <w:rPr>
          <w:rFonts w:hint="eastAsia" w:ascii="仿宋_GB2312" w:hAnsi="仿宋_GB2312" w:eastAsia="仿宋_GB2312" w:cs="仿宋_GB2312"/>
          <w:snapToGrid w:val="0"/>
          <w:spacing w:val="5"/>
          <w:kern w:val="0"/>
          <w:sz w:val="32"/>
          <w:szCs w:val="32"/>
        </w:rPr>
        <w:t>不具备安全培训条件的非高危行业生产经营单位，可以委托具备安全培训条件的机构进行安全培训，保证安全培训的责任仍由本单位负责。</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4.1.3 培训可采用多样化培训方式，加强案例教学，注重职业道德、安全生产法律知识、安全生产责任意识、安全生产管理能力和安全生产技术知识等综合培训。</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4.1.4 开展线上培训的，可设置学习记录、课程评价、防替学、防挂课等功能，充分利用技术手段保证培训效果。</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4.2 培训内容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重要思想及方针政策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bookmarkStart w:id="4" w:name="_Hlk208169536"/>
      <w:r>
        <w:rPr>
          <w:rFonts w:hint="eastAsia" w:ascii="仿宋_GB2312" w:hAnsi="仿宋_GB2312" w:eastAsia="仿宋_GB2312" w:cs="仿宋_GB2312"/>
          <w:snapToGrid w:val="0"/>
          <w:kern w:val="0"/>
          <w:sz w:val="32"/>
          <w:szCs w:val="32"/>
        </w:rPr>
        <w:t>习近平总书记关于安全生产重要论述</w:t>
      </w:r>
      <w:bookmarkEnd w:id="4"/>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2）国家安全生产方针、政策；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3）国家安全生产监督管理体制。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国家安全生产法律体系框架；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4.2.1.3 安全责任意识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生产经营单位主要负责人和安全生产管理人员的安全生产职责</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lang w:val="en-US" w:eastAsia="zh-CN"/>
        </w:rPr>
        <w:t>生产经营单位从业人员的安全生产权利和义务</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1）安全生产管理基本概念；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2）事故致因及安全原理；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3）安全生产管理理念。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4.2.2.2 安全生产管理组织与规章制度</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1）安全生产管理机构与管理人员配置要求；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2）全员安全生产责任制；</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3）安全生产规章制度和操作规程；</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4）相关方管理。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4.2.2.3 安全生产资源保障</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1）安全生产投入；</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2）建设项目安全设施“三同时”；</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3）个体防护装备管理；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4）工伤保险、安全生产责任保险</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5）女职工劳动保护特别规定</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4.2.2.4 安全生产能力建设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1）安全生产教育培训；</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2）企业安全文化建设；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3）安全生产标准化建设。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4.2.2.5 风险分级管控与隐患排查治理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1）风险分级管控；</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2）隐患排查治理；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3）安全生产检查与隐患整改。</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4.2.2.6 设备设施与作业安全管理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1）安全设备设施管理；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2）特种设备设施管理；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3）作业现场定置管理与环境安全；</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危险</w:t>
      </w:r>
      <w:r>
        <w:rPr>
          <w:rFonts w:hint="eastAsia" w:ascii="仿宋_GB2312" w:hAnsi="仿宋_GB2312" w:eastAsia="仿宋_GB2312" w:cs="仿宋_GB2312"/>
          <w:spacing w:val="5"/>
          <w:sz w:val="32"/>
          <w:szCs w:val="32"/>
        </w:rPr>
        <w:t>作业安全管理。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4.2.2.7 应急管理与灾害事故处理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1）应急救援组织实施；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2）应急预案编制与管理，应急演练；</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3）事故信息报告；</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4）事故调查与处理；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5）自然灾害应对。</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4.2.2.8 国内外先进安全生产管理经验</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4.2.2.9 </w:t>
      </w:r>
      <w:r>
        <w:rPr>
          <w:rFonts w:hint="eastAsia" w:ascii="仿宋_GB2312" w:hAnsi="仿宋_GB2312" w:eastAsia="仿宋_GB2312" w:cs="仿宋_GB2312"/>
          <w:spacing w:val="5"/>
          <w:sz w:val="32"/>
          <w:szCs w:val="32"/>
          <w:lang w:eastAsia="zh-CN"/>
        </w:rPr>
        <w:t>典型生产安全事故</w:t>
      </w:r>
      <w:r>
        <w:rPr>
          <w:rFonts w:hint="eastAsia" w:ascii="仿宋_GB2312" w:hAnsi="仿宋_GB2312" w:eastAsia="仿宋_GB2312" w:cs="仿宋_GB2312"/>
          <w:spacing w:val="5"/>
          <w:sz w:val="32"/>
          <w:szCs w:val="32"/>
        </w:rPr>
        <w:t>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.1 通用安全技术。主要包括机械、电气、防火防爆、特种设备、危险作业、危险化学品等</w:t>
      </w:r>
      <w:r>
        <w:rPr>
          <w:rFonts w:hint="eastAsia" w:ascii="仿宋_GB2312" w:hAnsi="仿宋_GB2312" w:eastAsia="仿宋_GB2312" w:cs="仿宋_GB2312"/>
          <w:snapToGrid w:val="0"/>
          <w:kern w:val="0"/>
          <w:sz w:val="32"/>
          <w:szCs w:val="32"/>
          <w:lang w:val="en-US" w:eastAsia="zh-CN"/>
        </w:rPr>
        <w:t>安全技术</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.2 本行业安全生产专业技术。结合本行业的安全生产特点及重点监管专项领域，实施安全生产专业技术知识培训。</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4.3 再培训内容</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4.3.1 习近平总书记关于安全生产重要论述。</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4.3.2 安全生产最新法律法规、国家标准和行业标准。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4.3.3 本行业新材料、新设备、新工艺及新技术的安全技术要求。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4.3.4 本行业国内外先进安全生产管理经验。</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4.3.5 本行业典型</w:t>
      </w:r>
      <w:r>
        <w:rPr>
          <w:rFonts w:hint="eastAsia" w:ascii="仿宋_GB2312" w:hAnsi="仿宋_GB2312" w:eastAsia="仿宋_GB2312" w:cs="仿宋_GB2312"/>
          <w:bCs/>
          <w:sz w:val="32"/>
          <w:szCs w:val="32"/>
          <w:lang w:eastAsia="zh-CN"/>
        </w:rPr>
        <w:t>生产安全</w:t>
      </w:r>
      <w:r>
        <w:rPr>
          <w:rFonts w:hint="eastAsia" w:ascii="仿宋_GB2312" w:hAnsi="仿宋_GB2312" w:eastAsia="仿宋_GB2312" w:cs="仿宋_GB2312"/>
          <w:bCs/>
          <w:sz w:val="32"/>
          <w:szCs w:val="32"/>
        </w:rPr>
        <w:t>事故案例分析。</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4.4 学时安排</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初次培训时间不少于32学时，每年再培训时间不少于12学时</w:t>
      </w:r>
      <w:r>
        <w:rPr>
          <w:rFonts w:hint="eastAsia" w:ascii="仿宋_GB2312" w:hAnsi="仿宋_GB2312" w:eastAsia="仿宋_GB2312" w:cs="仿宋_GB2312"/>
          <w:spacing w:val="5"/>
          <w:sz w:val="32"/>
          <w:szCs w:val="32"/>
        </w:rPr>
        <w:t>，每学时不少于 45 分钟</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bCs/>
          <w:sz w:val="32"/>
          <w:szCs w:val="32"/>
        </w:rPr>
        <w:t>具体学时安排见下表</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wordWrap/>
        <w:overflowPunct/>
        <w:topLinePunct w:val="0"/>
        <w:bidi w:val="0"/>
        <w:jc w:val="center"/>
        <w:rPr>
          <w:rFonts w:hint="eastAsia" w:ascii="宋体" w:hAnsi="宋体" w:eastAsia="宋体"/>
          <w:b/>
          <w:sz w:val="28"/>
          <w:szCs w:val="28"/>
        </w:rPr>
      </w:pPr>
      <w:r>
        <w:rPr>
          <w:rFonts w:hint="eastAsia" w:ascii="宋体" w:hAnsi="宋体" w:eastAsia="宋体" w:cs="黑体"/>
          <w:b/>
          <w:sz w:val="28"/>
          <w:szCs w:val="28"/>
        </w:rPr>
        <w:br w:type="page"/>
      </w:r>
      <w:r>
        <w:rPr>
          <w:rFonts w:hint="eastAsia" w:ascii="宋体" w:hAnsi="宋体" w:eastAsia="宋体" w:cs="黑体"/>
          <w:b/>
          <w:sz w:val="28"/>
          <w:szCs w:val="28"/>
        </w:rPr>
        <w:t>培训学时安排表</w:t>
      </w:r>
    </w:p>
    <w:tbl>
      <w:tblPr>
        <w:tblStyle w:val="9"/>
        <w:tblW w:w="48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8"/>
        <w:gridCol w:w="1934"/>
        <w:gridCol w:w="406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23"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培训类别</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培训内容</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学时</w:t>
            </w:r>
          </w:p>
        </w:tc>
        <w:tc>
          <w:tcPr>
            <w:tcW w:w="456" w:type="pct"/>
            <w:shd w:val="clear" w:color="auto" w:fill="FFFFFF"/>
            <w:vAlign w:val="center"/>
          </w:tcPr>
          <w:p>
            <w:pPr>
              <w:keepNext w:val="0"/>
              <w:keepLines w:val="0"/>
              <w:pageBreakBefore w:val="0"/>
              <w:widowControl w:val="0"/>
              <w:wordWrap/>
              <w:overflowPunct/>
              <w:topLinePunct w:val="0"/>
              <w:bidi w:val="0"/>
              <w:jc w:val="center"/>
              <w:rPr>
                <w:b/>
                <w:bCs/>
              </w:rPr>
            </w:pPr>
            <w:r>
              <w:rPr>
                <w:rFonts w:hint="eastAsia"/>
                <w:b/>
                <w:bC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restart"/>
            <w:shd w:val="clear" w:color="auto" w:fill="FFFFFF"/>
            <w:vAlign w:val="center"/>
          </w:tcPr>
          <w:p>
            <w:pPr>
              <w:keepNext w:val="0"/>
              <w:keepLines w:val="0"/>
              <w:pageBreakBefore w:val="0"/>
              <w:widowControl w:val="0"/>
              <w:wordWrap/>
              <w:overflowPunct/>
              <w:topLinePunct w:val="0"/>
              <w:bidi w:val="0"/>
            </w:pPr>
            <w:r>
              <w:rPr>
                <w:rFonts w:hint="eastAsia"/>
              </w:rPr>
              <w:t>初次培训</w:t>
            </w: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安全生产法律法规与责任意识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安全生产重要思想及方针政策</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restart"/>
            <w:shd w:val="clear" w:color="auto" w:fill="FFFFFF"/>
            <w:vAlign w:val="center"/>
          </w:tcPr>
          <w:p>
            <w:pPr>
              <w:keepNext w:val="0"/>
              <w:keepLines w:val="0"/>
              <w:pageBreakBefore w:val="0"/>
              <w:widowControl w:val="0"/>
              <w:wordWrap/>
              <w:overflowPunct/>
              <w:topLinePunct w:val="0"/>
              <w:bidi w:val="0"/>
              <w:jc w:val="center"/>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安全生产法律法规</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安全责任意识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安全生产管理基础知识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安全生产管理组织与规章制度</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安全生产资源保障</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安全生产能力建设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风险分级管控与隐患排查治理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设备设施与作业安全管理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4</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应急管理与灾害事故处理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国内外先进安全生产管理经验</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lang w:eastAsia="zh-CN"/>
              </w:rPr>
              <w:t>典型生产安全事故</w:t>
            </w:r>
            <w:r>
              <w:rPr>
                <w:rFonts w:hint="eastAsia"/>
              </w:rPr>
              <w:t>和应急救援案例分析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安全生产技术</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通用安全技术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rFonts w:hint="eastAsia" w:eastAsiaTheme="minorEastAsia"/>
                <w:lang w:eastAsia="zh-CN"/>
              </w:rPr>
            </w:pPr>
            <w:r>
              <w:rPr>
                <w:rFonts w:hint="eastAsia"/>
                <w:lang w:val="en-US" w:eastAsia="zh-CN"/>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本行业安全生产专业技术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rFonts w:hint="eastAsia" w:eastAsiaTheme="minorEastAsia"/>
                <w:lang w:eastAsia="zh-CN"/>
              </w:rPr>
            </w:pPr>
            <w:r>
              <w:rPr>
                <w:rFonts w:hint="eastAsia"/>
                <w:lang w:val="en-US" w:eastAsia="zh-CN"/>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再培训</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（1）习近平总书记关于安全生产重要论述。</w:t>
            </w:r>
          </w:p>
          <w:p>
            <w:pPr>
              <w:keepNext w:val="0"/>
              <w:keepLines w:val="0"/>
              <w:pageBreakBefore w:val="0"/>
              <w:widowControl w:val="0"/>
              <w:wordWrap/>
              <w:overflowPunct/>
              <w:topLinePunct w:val="0"/>
              <w:bidi w:val="0"/>
            </w:pPr>
            <w:r>
              <w:rPr>
                <w:rFonts w:hint="eastAsia"/>
              </w:rPr>
              <w:t>（2）安全生产最新法律法规、国家标准和行业标准。</w:t>
            </w:r>
          </w:p>
          <w:p>
            <w:pPr>
              <w:keepNext w:val="0"/>
              <w:keepLines w:val="0"/>
              <w:pageBreakBefore w:val="0"/>
              <w:widowControl w:val="0"/>
              <w:wordWrap/>
              <w:overflowPunct/>
              <w:topLinePunct w:val="0"/>
              <w:bidi w:val="0"/>
            </w:pPr>
            <w:r>
              <w:rPr>
                <w:rFonts w:hint="eastAsia"/>
              </w:rPr>
              <w:t>（3）本行业新材料、新设备、新工艺及新技术的安全技术要求。</w:t>
            </w:r>
          </w:p>
          <w:p>
            <w:pPr>
              <w:keepNext w:val="0"/>
              <w:keepLines w:val="0"/>
              <w:pageBreakBefore w:val="0"/>
              <w:widowControl w:val="0"/>
              <w:wordWrap/>
              <w:overflowPunct/>
              <w:topLinePunct w:val="0"/>
              <w:bidi w:val="0"/>
            </w:pPr>
            <w:r>
              <w:rPr>
                <w:rFonts w:hint="eastAsia"/>
              </w:rPr>
              <w:t>（4）本行业国内外先进安全生产管理经验。</w:t>
            </w:r>
          </w:p>
          <w:p>
            <w:pPr>
              <w:keepNext w:val="0"/>
              <w:keepLines w:val="0"/>
              <w:pageBreakBefore w:val="0"/>
              <w:widowControl w:val="0"/>
              <w:wordWrap/>
              <w:overflowPunct/>
              <w:topLinePunct w:val="0"/>
              <w:bidi w:val="0"/>
            </w:pPr>
            <w:r>
              <w:rPr>
                <w:rFonts w:hint="eastAsia"/>
              </w:rPr>
              <w:t>（5）本行业</w:t>
            </w:r>
            <w:r>
              <w:rPr>
                <w:rFonts w:hint="eastAsia"/>
                <w:lang w:eastAsia="zh-CN"/>
              </w:rPr>
              <w:t>典型生产安全事故</w:t>
            </w:r>
            <w:r>
              <w:rPr>
                <w:rFonts w:hint="eastAsia"/>
              </w:rPr>
              <w:t>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12</w:t>
            </w:r>
          </w:p>
        </w:tc>
        <w:tc>
          <w:tcPr>
            <w:tcW w:w="456" w:type="pct"/>
            <w:shd w:val="clear" w:color="auto" w:fill="FFFFFF"/>
            <w:vAlign w:val="center"/>
          </w:tcPr>
          <w:p>
            <w:pPr>
              <w:keepNext w:val="0"/>
              <w:keepLines w:val="0"/>
              <w:pageBreakBefore w:val="0"/>
              <w:widowControl w:val="0"/>
              <w:wordWrap/>
              <w:overflowPunct/>
              <w:topLinePunct w:val="0"/>
              <w:bidi w:val="0"/>
              <w:jc w:val="center"/>
            </w:pPr>
            <w:r>
              <w:rPr>
                <w:rFonts w:hint="eastAsia"/>
              </w:rPr>
              <w:t>12</w:t>
            </w:r>
          </w:p>
        </w:tc>
      </w:tr>
    </w:tbl>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Cs/>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5" w:name="_Toc207271450"/>
      <w:r>
        <w:rPr>
          <w:rFonts w:ascii="黑体" w:hAnsi="黑体" w:eastAsia="黑体" w:cs="黑体"/>
          <w:b/>
          <w:bCs/>
          <w:snapToGrid w:val="0"/>
          <w:spacing w:val="-8"/>
          <w:kern w:val="0"/>
          <w:sz w:val="32"/>
          <w:szCs w:val="32"/>
        </w:rPr>
        <w:t>5</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考核</w:t>
      </w:r>
      <w:r>
        <w:rPr>
          <w:rFonts w:hint="eastAsia" w:ascii="黑体" w:hAnsi="黑体" w:eastAsia="黑体" w:cs="黑体"/>
          <w:b/>
          <w:bCs/>
          <w:snapToGrid w:val="0"/>
          <w:spacing w:val="-8"/>
          <w:kern w:val="0"/>
          <w:sz w:val="32"/>
          <w:szCs w:val="32"/>
        </w:rPr>
        <w:t>标准</w:t>
      </w:r>
      <w:bookmarkEnd w:id="5"/>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5.1考核办法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5.1.1 考核内容分为安全生产法律法规与责任意识、安全生产管理、安全生产技术三部分，其中安全生产法律法规与责任意识占40%、安全生产管理占50%、安全生产技术占10%。</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5.1.2 考试采用百分制，</w:t>
      </w:r>
      <w:r>
        <w:rPr>
          <w:rFonts w:hint="eastAsia" w:ascii="仿宋_GB2312" w:hAnsi="仿宋_GB2312" w:eastAsia="仿宋_GB2312" w:cs="仿宋_GB2312"/>
          <w:spacing w:val="1"/>
          <w:sz w:val="32"/>
          <w:szCs w:val="32"/>
        </w:rPr>
        <w:t>满分100分，80分及以上为合格。推荐采用电脑端或移动端等线上、闭卷方式考试，原则上考试时间不少于60分钟。</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5.1.3 考核要点的层次分为了解、熟悉和掌握，三个层次由低到高，高层次的要求包含低层次的要求</w:t>
      </w:r>
      <w:r>
        <w:rPr>
          <w:rFonts w:hint="eastAsia" w:ascii="仿宋_GB2312" w:hAnsi="仿宋_GB2312" w:eastAsia="仿宋_GB2312" w:cs="仿宋_GB2312"/>
          <w:sz w:val="32"/>
          <w:szCs w:val="32"/>
        </w:rPr>
        <w:t>，具体规定如下：</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了解：能正确理解本大纲所列知识的含义、内容。熟悉：对本大纲所列知识有较深的认识，能够分析、解释并应用相关知识解决问题。掌握：对本大纲所列知识有全面、深刻的认识，能够综合分析、解决较为复杂的相关问题。</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ascii="楷体_GB2312" w:hAnsi="楷体" w:eastAsia="楷体_GB2312" w:cs="楷体"/>
          <w:b/>
          <w:bCs/>
          <w:snapToGrid w:val="0"/>
          <w:spacing w:val="2"/>
          <w:kern w:val="0"/>
          <w:sz w:val="32"/>
          <w:szCs w:val="32"/>
        </w:rPr>
        <w:t>5.</w:t>
      </w:r>
      <w:r>
        <w:rPr>
          <w:rFonts w:hint="eastAsia" w:ascii="楷体_GB2312" w:hAnsi="楷体" w:eastAsia="楷体_GB2312" w:cs="楷体"/>
          <w:b/>
          <w:bCs/>
          <w:snapToGrid w:val="0"/>
          <w:spacing w:val="2"/>
          <w:kern w:val="0"/>
          <w:sz w:val="32"/>
          <w:szCs w:val="32"/>
        </w:rPr>
        <w:t>2 考核要点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重要思想及方针政策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熟悉</w:t>
      </w:r>
      <w:r>
        <w:rPr>
          <w:rFonts w:hint="eastAsia" w:ascii="仿宋_GB2312" w:hAnsi="仿宋_GB2312" w:eastAsia="仿宋_GB2312" w:cs="仿宋_GB2312"/>
          <w:snapToGrid w:val="0"/>
          <w:kern w:val="0"/>
          <w:sz w:val="32"/>
          <w:szCs w:val="32"/>
        </w:rPr>
        <w:t>习近平总书记关于安全生产重要论述；</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2）了解国家安全生产方针和基本政策；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w:t>
      </w:r>
      <w:r>
        <w:rPr>
          <w:rFonts w:hint="eastAsia" w:ascii="仿宋_GB2312" w:hAnsi="仿宋_GB2312" w:eastAsia="仿宋_GB2312" w:cs="仿宋_GB2312"/>
          <w:snapToGrid w:val="0"/>
          <w:kern w:val="0"/>
          <w:sz w:val="32"/>
          <w:szCs w:val="32"/>
          <w:lang w:val="en-US" w:eastAsia="zh-CN"/>
        </w:rPr>
        <w:t>了解</w:t>
      </w:r>
      <w:r>
        <w:rPr>
          <w:rFonts w:hint="eastAsia" w:ascii="仿宋_GB2312" w:hAnsi="仿宋_GB2312" w:eastAsia="仿宋_GB2312" w:cs="仿宋_GB2312"/>
          <w:snapToGrid w:val="0"/>
          <w:kern w:val="0"/>
          <w:sz w:val="32"/>
          <w:szCs w:val="32"/>
        </w:rPr>
        <w:t>国家安全生产监督管理体制的基本框架和各级监管部门的主要职能。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了解国家安全生产法律体系；</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2）熟悉</w:t>
      </w:r>
      <w:r>
        <w:rPr>
          <w:rFonts w:hint="eastAsia" w:ascii="仿宋_GB2312" w:hAnsi="仿宋_GB2312" w:eastAsia="仿宋_GB2312" w:cs="仿宋_GB2312"/>
          <w:snapToGrid w:val="0"/>
          <w:kern w:val="0"/>
          <w:sz w:val="32"/>
          <w:szCs w:val="32"/>
        </w:rPr>
        <w:t>常用安全生产相关法律法规规章，包括《</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安全生产法》《</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消防法》《</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特种设备安全法》《生产安全事故应急条例》《生产安全事故报告和调查处理条例》《生产安全事故应急预案管理办法》等；</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了解</w:t>
      </w:r>
      <w:r>
        <w:rPr>
          <w:rFonts w:hint="eastAsia" w:ascii="仿宋_GB2312" w:hAnsi="仿宋_GB2312" w:eastAsia="仿宋_GB2312" w:cs="仿宋_GB2312"/>
          <w:snapToGrid w:val="0"/>
          <w:kern w:val="0"/>
          <w:sz w:val="32"/>
          <w:szCs w:val="32"/>
        </w:rPr>
        <w:t>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5.2.1.3 安全责任意识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napToGrid w:val="0"/>
          <w:kern w:val="0"/>
          <w:sz w:val="32"/>
          <w:szCs w:val="32"/>
          <w:highlight w:val="none"/>
        </w:rPr>
        <w:t>1）</w:t>
      </w:r>
      <w:r>
        <w:rPr>
          <w:rFonts w:hint="eastAsia" w:ascii="仿宋_GB2312" w:hAnsi="仿宋_GB2312" w:eastAsia="仿宋_GB2312" w:cs="仿宋_GB2312"/>
          <w:sz w:val="32"/>
          <w:szCs w:val="32"/>
          <w:highlight w:val="none"/>
          <w:lang w:eastAsia="zh-CN"/>
        </w:rPr>
        <w:t>掌握</w:t>
      </w:r>
      <w:r>
        <w:rPr>
          <w:rFonts w:hint="eastAsia" w:ascii="仿宋_GB2312" w:hAnsi="仿宋_GB2312" w:eastAsia="仿宋_GB2312" w:cs="仿宋_GB2312"/>
          <w:sz w:val="32"/>
          <w:szCs w:val="32"/>
          <w:highlight w:val="none"/>
          <w:lang w:val="en-US" w:eastAsia="zh-CN"/>
        </w:rPr>
        <w:t>生产经营单位主要负责人和</w:t>
      </w:r>
      <w:r>
        <w:rPr>
          <w:rFonts w:hint="eastAsia" w:ascii="仿宋_GB2312" w:hAnsi="仿宋_GB2312" w:eastAsia="仿宋_GB2312" w:cs="仿宋_GB2312"/>
          <w:sz w:val="32"/>
          <w:szCs w:val="32"/>
          <w:highlight w:val="none"/>
          <w:lang w:eastAsia="zh-CN"/>
        </w:rPr>
        <w:t>安全生产管理人员的</w:t>
      </w:r>
      <w:r>
        <w:rPr>
          <w:rFonts w:hint="eastAsia" w:ascii="仿宋_GB2312" w:hAnsi="仿宋_GB2312" w:eastAsia="仿宋_GB2312" w:cs="仿宋_GB2312"/>
          <w:sz w:val="32"/>
          <w:szCs w:val="32"/>
          <w:highlight w:val="none"/>
          <w:lang w:val="en-US" w:eastAsia="zh-CN"/>
        </w:rPr>
        <w:t>安全生产</w:t>
      </w:r>
      <w:r>
        <w:rPr>
          <w:rFonts w:hint="eastAsia" w:ascii="仿宋_GB2312" w:hAnsi="仿宋_GB2312" w:eastAsia="仿宋_GB2312" w:cs="仿宋_GB2312"/>
          <w:sz w:val="32"/>
          <w:szCs w:val="32"/>
          <w:highlight w:val="none"/>
          <w:lang w:eastAsia="zh-CN"/>
        </w:rPr>
        <w:t>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2）熟悉</w:t>
      </w:r>
      <w:r>
        <w:rPr>
          <w:rFonts w:hint="eastAsia" w:ascii="仿宋_GB2312" w:hAnsi="仿宋_GB2312" w:eastAsia="仿宋_GB2312" w:cs="仿宋_GB2312"/>
          <w:sz w:val="32"/>
          <w:szCs w:val="32"/>
          <w:highlight w:val="none"/>
          <w:lang w:val="en-US" w:eastAsia="zh-CN"/>
        </w:rPr>
        <w:t>生产经营单位</w:t>
      </w:r>
      <w:r>
        <w:rPr>
          <w:rFonts w:hint="eastAsia" w:ascii="仿宋_GB2312" w:hAnsi="仿宋_GB2312" w:eastAsia="仿宋_GB2312" w:cs="仿宋_GB2312"/>
          <w:sz w:val="32"/>
          <w:szCs w:val="32"/>
          <w:highlight w:val="none"/>
          <w:lang w:eastAsia="zh-CN"/>
        </w:rPr>
        <w:t>从业人员的</w:t>
      </w:r>
      <w:r>
        <w:rPr>
          <w:rFonts w:hint="eastAsia" w:ascii="仿宋_GB2312" w:hAnsi="仿宋_GB2312" w:eastAsia="仿宋_GB2312" w:cs="仿宋_GB2312"/>
          <w:sz w:val="32"/>
          <w:szCs w:val="32"/>
          <w:highlight w:val="none"/>
          <w:lang w:val="en-US" w:eastAsia="zh-CN"/>
        </w:rPr>
        <w:t>安全生产</w:t>
      </w:r>
      <w:r>
        <w:rPr>
          <w:rFonts w:hint="eastAsia" w:ascii="仿宋_GB2312" w:hAnsi="仿宋_GB2312" w:eastAsia="仿宋_GB2312" w:cs="仿宋_GB2312"/>
          <w:sz w:val="32"/>
          <w:szCs w:val="32"/>
          <w:highlight w:val="none"/>
          <w:lang w:eastAsia="zh-CN"/>
        </w:rPr>
        <w:t>权利和义务；</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3）熟悉《刑法》有关重大责任事故罪，强令、组织他人违章冒险作业罪，危险作业罪、重大劳动安全事故罪，不报、谎报安全事故罪等法条规定。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lang w:val="en-US" w:eastAsia="zh-CN"/>
        </w:rPr>
        <w:t>掌握事故、事故隐患、</w:t>
      </w:r>
      <w:r>
        <w:rPr>
          <w:rFonts w:hint="eastAsia" w:ascii="仿宋_GB2312" w:hAnsi="仿宋_GB2312" w:eastAsia="仿宋_GB2312" w:cs="仿宋_GB2312"/>
          <w:spacing w:val="5"/>
          <w:sz w:val="32"/>
          <w:szCs w:val="32"/>
        </w:rPr>
        <w:t>危险源、</w:t>
      </w:r>
      <w:r>
        <w:rPr>
          <w:rFonts w:hint="eastAsia" w:ascii="仿宋_GB2312" w:hAnsi="仿宋_GB2312" w:eastAsia="仿宋_GB2312" w:cs="仿宋_GB2312"/>
          <w:spacing w:val="5"/>
          <w:sz w:val="32"/>
          <w:szCs w:val="32"/>
          <w:lang w:val="en-US" w:eastAsia="zh-CN"/>
        </w:rPr>
        <w:t>安全</w:t>
      </w:r>
      <w:r>
        <w:rPr>
          <w:rFonts w:hint="eastAsia" w:ascii="仿宋_GB2312" w:hAnsi="仿宋_GB2312" w:eastAsia="仿宋_GB2312" w:cs="仿宋_GB2312"/>
          <w:spacing w:val="5"/>
          <w:sz w:val="32"/>
          <w:szCs w:val="32"/>
        </w:rPr>
        <w:t>风险、</w:t>
      </w:r>
      <w:r>
        <w:rPr>
          <w:rFonts w:hint="eastAsia" w:ascii="仿宋_GB2312" w:hAnsi="仿宋_GB2312" w:eastAsia="仿宋_GB2312" w:cs="仿宋_GB2312"/>
          <w:spacing w:val="5"/>
          <w:sz w:val="32"/>
          <w:szCs w:val="32"/>
          <w:lang w:val="en-US" w:eastAsia="zh-CN"/>
        </w:rPr>
        <w:t>危险作业</w:t>
      </w:r>
      <w:r>
        <w:rPr>
          <w:rFonts w:hint="eastAsia" w:ascii="仿宋_GB2312" w:hAnsi="仿宋_GB2312" w:eastAsia="仿宋_GB2312" w:cs="仿宋_GB2312"/>
          <w:spacing w:val="5"/>
          <w:sz w:val="32"/>
          <w:szCs w:val="32"/>
        </w:rPr>
        <w:t>等基本概念；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2）了解事故致因理论及安全原理；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3）了解现代安全生产管理的基本理念。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5.2.2.2 安全生产管理组织与规章制度</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1）掌握安全生产管理机构设置与管理人员配置要求；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熟悉建立全员安全生产责任制法律要求与核心内容；</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w:t>
      </w:r>
      <w:r>
        <w:rPr>
          <w:rFonts w:hint="eastAsia" w:ascii="仿宋_GB2312" w:hAnsi="仿宋_GB2312" w:eastAsia="仿宋_GB2312" w:cs="仿宋_GB2312"/>
          <w:snapToGrid w:val="0"/>
          <w:kern w:val="0"/>
          <w:sz w:val="32"/>
          <w:szCs w:val="32"/>
          <w:lang w:val="en-US" w:eastAsia="zh-CN"/>
        </w:rPr>
        <w:t>安全生产规章制度体系的建立与审核程序；</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相关方管理要求</w:t>
      </w:r>
      <w:r>
        <w:rPr>
          <w:rFonts w:hint="eastAsia" w:ascii="仿宋_GB2312" w:hAnsi="仿宋_GB2312" w:eastAsia="仿宋_GB2312" w:cs="仿宋_GB2312"/>
          <w:spacing w:val="5"/>
          <w:sz w:val="32"/>
          <w:szCs w:val="32"/>
          <w:highlight w:val="none"/>
          <w:lang w:eastAsia="zh-CN"/>
        </w:rPr>
        <w:t>，主要包括</w:t>
      </w:r>
      <w:r>
        <w:rPr>
          <w:rFonts w:hint="eastAsia" w:ascii="仿宋_GB2312" w:hAnsi="仿宋_GB2312" w:eastAsia="仿宋_GB2312" w:cs="仿宋_GB2312"/>
          <w:spacing w:val="5"/>
          <w:sz w:val="32"/>
          <w:szCs w:val="32"/>
          <w:highlight w:val="none"/>
          <w:lang w:val="en-US" w:eastAsia="zh-CN"/>
        </w:rPr>
        <w:t>发包、</w:t>
      </w:r>
      <w:r>
        <w:rPr>
          <w:rFonts w:hint="eastAsia" w:ascii="仿宋_GB2312" w:hAnsi="仿宋_GB2312" w:eastAsia="仿宋_GB2312" w:cs="仿宋_GB2312"/>
          <w:spacing w:val="5"/>
          <w:sz w:val="32"/>
          <w:szCs w:val="32"/>
          <w:highlight w:val="none"/>
          <w:lang w:eastAsia="zh-CN"/>
        </w:rPr>
        <w:t>承包、</w:t>
      </w:r>
      <w:r>
        <w:rPr>
          <w:rFonts w:hint="eastAsia" w:ascii="仿宋_GB2312" w:hAnsi="仿宋_GB2312" w:eastAsia="仿宋_GB2312" w:cs="仿宋_GB2312"/>
          <w:spacing w:val="5"/>
          <w:sz w:val="32"/>
          <w:szCs w:val="32"/>
          <w:highlight w:val="none"/>
          <w:lang w:val="en-US" w:eastAsia="zh-CN"/>
        </w:rPr>
        <w:t>租赁、委外作业、劳务派遣、学生实习等活动的</w:t>
      </w:r>
      <w:r>
        <w:rPr>
          <w:rFonts w:hint="eastAsia" w:ascii="仿宋_GB2312" w:hAnsi="仿宋_GB2312" w:eastAsia="仿宋_GB2312" w:cs="仿宋_GB2312"/>
          <w:spacing w:val="5"/>
          <w:sz w:val="32"/>
          <w:szCs w:val="32"/>
          <w:highlight w:val="none"/>
          <w:lang w:eastAsia="zh-CN"/>
        </w:rPr>
        <w:t>安全管理职责</w:t>
      </w:r>
      <w:r>
        <w:rPr>
          <w:rFonts w:hint="eastAsia" w:ascii="仿宋_GB2312" w:hAnsi="仿宋_GB2312" w:eastAsia="仿宋_GB2312" w:cs="仿宋_GB2312"/>
          <w:spacing w:val="5"/>
          <w:sz w:val="32"/>
          <w:szCs w:val="32"/>
          <w:highlight w:val="none"/>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5.2.2.3 安全生产资源保障</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rPr>
        <w:t>1）掌握安全生产</w:t>
      </w:r>
      <w:r>
        <w:rPr>
          <w:rFonts w:hint="eastAsia" w:ascii="仿宋_GB2312" w:hAnsi="仿宋_GB2312" w:eastAsia="仿宋_GB2312" w:cs="仿宋_GB2312"/>
          <w:spacing w:val="5"/>
          <w:sz w:val="32"/>
          <w:szCs w:val="32"/>
          <w:lang w:val="en-US" w:eastAsia="zh-CN"/>
        </w:rPr>
        <w:t>法律法规有关安全生产</w:t>
      </w:r>
      <w:r>
        <w:rPr>
          <w:rFonts w:hint="eastAsia" w:ascii="仿宋_GB2312" w:hAnsi="仿宋_GB2312" w:eastAsia="仿宋_GB2312" w:cs="仿宋_GB2312"/>
          <w:spacing w:val="5"/>
          <w:sz w:val="32"/>
          <w:szCs w:val="32"/>
        </w:rPr>
        <w:t>投入</w:t>
      </w:r>
      <w:r>
        <w:rPr>
          <w:rFonts w:hint="eastAsia" w:ascii="仿宋_GB2312" w:hAnsi="仿宋_GB2312" w:eastAsia="仿宋_GB2312" w:cs="仿宋_GB2312"/>
          <w:spacing w:val="5"/>
          <w:sz w:val="32"/>
          <w:szCs w:val="32"/>
          <w:lang w:val="en-US" w:eastAsia="zh-CN"/>
        </w:rPr>
        <w:t>规定，包括分析企业安全生产投入需求，编制企业安全生产费用提取、使用和管理计划等；</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建设项目安全设施“三同时”基本概念及要求；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pacing w:val="5"/>
          <w:sz w:val="32"/>
          <w:szCs w:val="32"/>
          <w:highlight w:val="none"/>
          <w:lang w:val="en-US" w:eastAsia="zh-CN"/>
        </w:rPr>
        <w:t>了解</w:t>
      </w:r>
      <w:r>
        <w:rPr>
          <w:rFonts w:hint="eastAsia" w:ascii="仿宋_GB2312" w:hAnsi="仿宋_GB2312" w:eastAsia="仿宋_GB2312" w:cs="仿宋_GB2312"/>
          <w:spacing w:val="5"/>
          <w:sz w:val="32"/>
          <w:szCs w:val="32"/>
          <w:highlight w:val="none"/>
          <w:lang w:eastAsia="zh-CN"/>
        </w:rPr>
        <w:t>个体防护装备的配备、使用及维护保养等</w:t>
      </w:r>
      <w:r>
        <w:rPr>
          <w:rFonts w:hint="eastAsia" w:ascii="仿宋_GB2312" w:hAnsi="仿宋_GB2312" w:eastAsia="仿宋_GB2312" w:cs="仿宋_GB2312"/>
          <w:spacing w:val="5"/>
          <w:sz w:val="32"/>
          <w:szCs w:val="32"/>
          <w:highlight w:val="none"/>
        </w:rPr>
        <w:t>要求；</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工伤保险</w:t>
      </w:r>
      <w:r>
        <w:rPr>
          <w:rFonts w:hint="eastAsia" w:ascii="仿宋_GB2312" w:hAnsi="仿宋_GB2312" w:eastAsia="仿宋_GB2312" w:cs="仿宋_GB2312"/>
          <w:spacing w:val="5"/>
          <w:sz w:val="32"/>
          <w:szCs w:val="32"/>
          <w:lang w:val="en-US" w:eastAsia="zh-CN"/>
        </w:rPr>
        <w:t>费缴纳、工伤认定、劳动能力鉴定和工伤人员工伤保险待遇、违法行为、法律责任等有关规定，了解安全生产责任保险投保与承保、事故预防服务等有关规定。</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5）了解女职工禁忌从事的劳动范围、孕产期从业等方面规定，以及违法行为和法律责任等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5.2.2.4 安全生产能力建设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法律法规对主要负责人、安全生产管理人员、特种作业人员、其他从业人员（含被派遣劳动者、实习人员，以及离岗六个月以上或换岗的重新上岗人员等）的培训要求等</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2）熟悉</w:t>
      </w:r>
      <w:r>
        <w:rPr>
          <w:rFonts w:hint="eastAsia" w:ascii="仿宋_GB2312" w:hAnsi="仿宋_GB2312" w:eastAsia="仿宋_GB2312" w:cs="仿宋_GB2312"/>
          <w:spacing w:val="5"/>
          <w:sz w:val="32"/>
          <w:szCs w:val="32"/>
        </w:rPr>
        <w:t>安全教育培训计划的</w:t>
      </w:r>
      <w:r>
        <w:rPr>
          <w:rFonts w:hint="eastAsia" w:ascii="仿宋_GB2312" w:hAnsi="仿宋_GB2312" w:eastAsia="仿宋_GB2312" w:cs="仿宋_GB2312"/>
          <w:spacing w:val="5"/>
          <w:sz w:val="32"/>
          <w:szCs w:val="32"/>
          <w:lang w:val="en-US" w:eastAsia="zh-CN"/>
        </w:rPr>
        <w:t>组织</w:t>
      </w:r>
      <w:r>
        <w:rPr>
          <w:rFonts w:hint="eastAsia" w:ascii="仿宋_GB2312" w:hAnsi="仿宋_GB2312" w:eastAsia="仿宋_GB2312" w:cs="仿宋_GB2312"/>
          <w:spacing w:val="5"/>
          <w:sz w:val="32"/>
          <w:szCs w:val="32"/>
        </w:rPr>
        <w:t>制定与实施</w:t>
      </w:r>
      <w:r>
        <w:rPr>
          <w:rFonts w:hint="eastAsia" w:ascii="仿宋_GB2312" w:hAnsi="仿宋_GB2312" w:eastAsia="仿宋_GB2312" w:cs="仿宋_GB2312"/>
          <w:spacing w:val="5"/>
          <w:sz w:val="32"/>
          <w:szCs w:val="32"/>
          <w:lang w:val="en-US" w:eastAsia="zh-CN"/>
        </w:rPr>
        <w:t>程序，包括安全生产教育培训需求分析、方案制定和效果评估等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了解企业</w:t>
      </w:r>
      <w:r>
        <w:rPr>
          <w:rFonts w:hint="eastAsia" w:ascii="仿宋_GB2312" w:hAnsi="仿宋_GB2312" w:eastAsia="仿宋_GB2312" w:cs="仿宋_GB2312"/>
          <w:spacing w:val="5"/>
          <w:sz w:val="32"/>
          <w:szCs w:val="32"/>
        </w:rPr>
        <w:t>安全文化的</w:t>
      </w:r>
      <w:r>
        <w:rPr>
          <w:rFonts w:hint="eastAsia" w:ascii="仿宋_GB2312" w:hAnsi="仿宋_GB2312" w:eastAsia="仿宋_GB2312" w:cs="仿宋_GB2312"/>
          <w:spacing w:val="5"/>
          <w:sz w:val="32"/>
          <w:szCs w:val="32"/>
          <w:lang w:val="en-US" w:eastAsia="zh-CN"/>
        </w:rPr>
        <w:t>基本要素和</w:t>
      </w:r>
      <w:r>
        <w:rPr>
          <w:rFonts w:hint="eastAsia" w:ascii="仿宋_GB2312" w:hAnsi="仿宋_GB2312" w:eastAsia="仿宋_GB2312" w:cs="仿宋_GB2312"/>
          <w:spacing w:val="5"/>
          <w:sz w:val="32"/>
          <w:szCs w:val="32"/>
        </w:rPr>
        <w:t>建设</w:t>
      </w:r>
      <w:r>
        <w:rPr>
          <w:rFonts w:hint="eastAsia" w:ascii="仿宋_GB2312" w:hAnsi="仿宋_GB2312" w:eastAsia="仿宋_GB2312" w:cs="仿宋_GB2312"/>
          <w:spacing w:val="5"/>
          <w:sz w:val="32"/>
          <w:szCs w:val="32"/>
          <w:lang w:val="en-US" w:eastAsia="zh-CN"/>
        </w:rPr>
        <w:t>操作步骤</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highlight w:val="none"/>
          <w:lang w:val="en-US" w:eastAsia="zh-CN"/>
        </w:rPr>
        <w:t>了解企业</w:t>
      </w:r>
      <w:r>
        <w:rPr>
          <w:rFonts w:hint="eastAsia" w:ascii="仿宋_GB2312" w:hAnsi="仿宋_GB2312" w:eastAsia="仿宋_GB2312" w:cs="仿宋_GB2312"/>
          <w:spacing w:val="5"/>
          <w:sz w:val="32"/>
          <w:szCs w:val="32"/>
          <w:highlight w:val="none"/>
        </w:rPr>
        <w:t>安全生产标准化建设</w:t>
      </w:r>
      <w:r>
        <w:rPr>
          <w:rFonts w:hint="eastAsia" w:ascii="仿宋_GB2312" w:hAnsi="仿宋_GB2312" w:eastAsia="仿宋_GB2312" w:cs="仿宋_GB2312"/>
          <w:spacing w:val="5"/>
          <w:sz w:val="32"/>
          <w:szCs w:val="32"/>
          <w:highlight w:val="none"/>
          <w:lang w:val="en-US" w:eastAsia="zh-CN"/>
        </w:rPr>
        <w:t>内容及定级管理有关规定，</w:t>
      </w:r>
      <w:r>
        <w:rPr>
          <w:rFonts w:hint="eastAsia" w:ascii="仿宋_GB2312" w:hAnsi="仿宋_GB2312" w:eastAsia="仿宋_GB2312" w:cs="仿宋_GB2312"/>
          <w:spacing w:val="5"/>
          <w:sz w:val="32"/>
          <w:szCs w:val="32"/>
          <w:highlight w:val="none"/>
        </w:rPr>
        <w:t>包括</w:t>
      </w:r>
      <w:r>
        <w:rPr>
          <w:rFonts w:hint="eastAsia" w:ascii="仿宋_GB2312" w:hAnsi="仿宋_GB2312" w:eastAsia="仿宋_GB2312" w:cs="仿宋_GB2312"/>
          <w:spacing w:val="5"/>
          <w:sz w:val="32"/>
          <w:szCs w:val="32"/>
          <w:highlight w:val="none"/>
          <w:lang w:val="en-US" w:eastAsia="zh-CN"/>
        </w:rPr>
        <w:t>企业安全生产标准化管理体系建立、保持与评定的原则和一般要求，以及目标职责、制度化管理、教育培训、现场管理、安全风险管控及隐患排查治理、应急管理、事故管理和持续改进等核心技术要求。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5.2.2.5 </w:t>
      </w:r>
      <w:r>
        <w:rPr>
          <w:rFonts w:hint="eastAsia" w:ascii="仿宋_GB2312" w:hAnsi="仿宋_GB2312" w:eastAsia="仿宋_GB2312" w:cs="仿宋_GB2312"/>
          <w:spacing w:val="5"/>
          <w:sz w:val="32"/>
          <w:szCs w:val="32"/>
          <w:lang w:val="en-US" w:eastAsia="zh-CN"/>
        </w:rPr>
        <w:t>企业双重预防机制建设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双重预防机制建设</w:t>
      </w:r>
      <w:r>
        <w:rPr>
          <w:rFonts w:hint="eastAsia" w:ascii="仿宋_GB2312" w:hAnsi="仿宋_GB2312" w:eastAsia="仿宋_GB2312" w:cs="仿宋_GB2312"/>
          <w:spacing w:val="5"/>
          <w:sz w:val="32"/>
          <w:szCs w:val="32"/>
          <w:lang w:val="en-US" w:eastAsia="zh-CN"/>
        </w:rPr>
        <w:t>目的意义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2）熟悉危险源辨识、安全风险评估及分级管控要求；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3）熟悉一般事故隐患、重大事故隐患分类及隐患报告和治理要求；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熟悉安全生产检查类型、内容、方法、工作程序。</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5.2.2.6 设备设施与作业安全管理</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lang w:val="en-US" w:eastAsia="zh-CN"/>
        </w:rPr>
        <w:t>了解安全设施分类及配备、维护、保养、检修等要求；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2）了解特种设备种类，以及使用登记、检维修、检验、改造、停用、报废等管理要求；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了解</w:t>
      </w:r>
      <w:r>
        <w:rPr>
          <w:rFonts w:hint="eastAsia" w:ascii="仿宋_GB2312" w:hAnsi="仿宋_GB2312" w:eastAsia="仿宋_GB2312" w:cs="仿宋_GB2312"/>
          <w:spacing w:val="5"/>
          <w:sz w:val="32"/>
          <w:szCs w:val="32"/>
          <w:lang w:val="en-US" w:eastAsia="zh-CN"/>
        </w:rPr>
        <w:t>作业现场环境的危险和有害因素分类，一般作业现场环境布设要点</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了解安全标志、光照条件、噪声、温度、湿度、空气质量等管理要求；</w:t>
      </w:r>
    </w:p>
    <w:p>
      <w:pPr>
        <w:spacing w:line="560" w:lineRule="exact"/>
        <w:ind w:firstLine="660" w:firstLineChars="200"/>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highlight w:val="none"/>
          <w:lang w:val="en-US" w:eastAsia="zh-CN"/>
        </w:rPr>
        <w:t>了解危险作业种类和安全管理通用要求，</w:t>
      </w:r>
      <w:r>
        <w:rPr>
          <w:rFonts w:hint="eastAsia" w:ascii="仿宋_GB2312" w:hAnsi="仿宋_GB2312" w:eastAsia="仿宋_GB2312" w:cs="仿宋_GB2312"/>
          <w:bCs/>
          <w:color w:val="auto"/>
          <w:sz w:val="32"/>
          <w:szCs w:val="32"/>
          <w:highlight w:val="none"/>
          <w:lang w:val="en-US" w:eastAsia="zh-CN"/>
        </w:rPr>
        <w:t>能够辨识爆破、吊装、动火、高处、受限（</w:t>
      </w:r>
      <w:r>
        <w:rPr>
          <w:rFonts w:hint="eastAsia" w:ascii="仿宋_GB2312" w:hAnsi="仿宋_GB2312" w:eastAsia="仿宋_GB2312" w:cs="仿宋_GB2312"/>
          <w:bCs/>
          <w:color w:val="auto"/>
          <w:sz w:val="32"/>
          <w:szCs w:val="32"/>
          <w:highlight w:val="none"/>
          <w:lang w:eastAsia="zh-CN"/>
        </w:rPr>
        <w:t>有限）空间、</w:t>
      </w:r>
      <w:r>
        <w:rPr>
          <w:rFonts w:hint="eastAsia" w:ascii="仿宋_GB2312" w:hAnsi="仿宋_GB2312" w:eastAsia="仿宋_GB2312" w:cs="仿宋_GB2312"/>
          <w:bCs/>
          <w:color w:val="auto"/>
          <w:sz w:val="32"/>
          <w:szCs w:val="32"/>
          <w:highlight w:val="none"/>
          <w:lang w:val="en-US" w:eastAsia="zh-CN"/>
        </w:rPr>
        <w:t>临时用电等作业存在的危险、有害因素，制定相应安全管理、技术措施。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5.2.2.7 应急管理与灾害事故处理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1）了解</w:t>
      </w:r>
      <w:r>
        <w:rPr>
          <w:rFonts w:hint="eastAsia" w:ascii="仿宋_GB2312" w:hAnsi="仿宋_GB2312" w:eastAsia="仿宋_GB2312" w:cs="仿宋_GB2312"/>
          <w:spacing w:val="5"/>
          <w:sz w:val="32"/>
          <w:szCs w:val="32"/>
          <w:lang w:val="en-US" w:eastAsia="zh-CN"/>
        </w:rPr>
        <w:t>事故应急救援的基本任务及特点、事故应急管理相关法律法规要求</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2）熟悉应急预案的审批与资源保障要求，以及演练的目的和意义；</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掌握</w:t>
      </w:r>
      <w:r>
        <w:rPr>
          <w:rFonts w:hint="eastAsia" w:ascii="仿宋_GB2312" w:hAnsi="仿宋_GB2312" w:eastAsia="仿宋_GB2312" w:cs="仿宋_GB2312"/>
          <w:spacing w:val="5"/>
          <w:sz w:val="32"/>
          <w:szCs w:val="32"/>
        </w:rPr>
        <w:t>生产安全事故</w:t>
      </w:r>
      <w:r>
        <w:rPr>
          <w:rFonts w:hint="eastAsia" w:ascii="仿宋_GB2312" w:hAnsi="仿宋_GB2312" w:eastAsia="仿宋_GB2312" w:cs="仿宋_GB2312"/>
          <w:spacing w:val="5"/>
          <w:sz w:val="32"/>
          <w:szCs w:val="32"/>
          <w:lang w:val="en-US" w:eastAsia="zh-CN"/>
        </w:rPr>
        <w:t>分级分类，事故</w:t>
      </w:r>
      <w:r>
        <w:rPr>
          <w:rFonts w:hint="eastAsia" w:ascii="仿宋_GB2312" w:hAnsi="仿宋_GB2312" w:eastAsia="仿宋_GB2312" w:cs="仿宋_GB2312"/>
          <w:spacing w:val="5"/>
          <w:sz w:val="32"/>
          <w:szCs w:val="32"/>
        </w:rPr>
        <w:t>报告</w:t>
      </w:r>
      <w:r>
        <w:rPr>
          <w:rFonts w:hint="eastAsia" w:ascii="仿宋_GB2312" w:hAnsi="仿宋_GB2312" w:eastAsia="仿宋_GB2312" w:cs="仿宋_GB2312"/>
          <w:spacing w:val="5"/>
          <w:sz w:val="32"/>
          <w:szCs w:val="32"/>
          <w:lang w:val="en-US" w:eastAsia="zh-CN"/>
        </w:rPr>
        <w:t>内容，上报时限要求及部门</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了解不同级别</w:t>
      </w:r>
      <w:r>
        <w:rPr>
          <w:rFonts w:hint="eastAsia" w:ascii="仿宋_GB2312" w:hAnsi="仿宋_GB2312" w:eastAsia="仿宋_GB2312" w:cs="仿宋_GB2312"/>
          <w:spacing w:val="5"/>
          <w:sz w:val="32"/>
          <w:szCs w:val="32"/>
        </w:rPr>
        <w:t>生产安全事故</w:t>
      </w:r>
      <w:r>
        <w:rPr>
          <w:rFonts w:hint="eastAsia" w:ascii="仿宋_GB2312" w:hAnsi="仿宋_GB2312" w:eastAsia="仿宋_GB2312" w:cs="仿宋_GB2312"/>
          <w:spacing w:val="5"/>
          <w:sz w:val="32"/>
          <w:szCs w:val="32"/>
          <w:lang w:val="en-US" w:eastAsia="zh-CN"/>
        </w:rPr>
        <w:t>的</w:t>
      </w:r>
      <w:r>
        <w:rPr>
          <w:rFonts w:hint="eastAsia" w:ascii="仿宋_GB2312" w:hAnsi="仿宋_GB2312" w:eastAsia="仿宋_GB2312" w:cs="仿宋_GB2312"/>
          <w:spacing w:val="5"/>
          <w:sz w:val="32"/>
          <w:szCs w:val="32"/>
        </w:rPr>
        <w:t>调查处理</w:t>
      </w:r>
      <w:r>
        <w:rPr>
          <w:rFonts w:hint="eastAsia" w:ascii="仿宋_GB2312" w:hAnsi="仿宋_GB2312" w:eastAsia="仿宋_GB2312" w:cs="仿宋_GB2312"/>
          <w:spacing w:val="5"/>
          <w:sz w:val="32"/>
          <w:szCs w:val="32"/>
          <w:lang w:val="en-US" w:eastAsia="zh-CN"/>
        </w:rPr>
        <w:t>权限及基本流程，事故发生单位义务；</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5）熟悉深圳市典型自然灾害、灾害报告及应对措施。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5.2.2.8了解国内外先进安全生产管理经验</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5.2.2.9 了解典型</w:t>
      </w:r>
      <w:r>
        <w:rPr>
          <w:rFonts w:hint="eastAsia" w:ascii="仿宋_GB2312" w:hAnsi="仿宋_GB2312" w:eastAsia="仿宋_GB2312" w:cs="仿宋_GB2312"/>
          <w:spacing w:val="5"/>
          <w:sz w:val="32"/>
          <w:szCs w:val="32"/>
          <w:lang w:eastAsia="zh-CN"/>
        </w:rPr>
        <w:t>生产安全</w:t>
      </w:r>
      <w:r>
        <w:rPr>
          <w:rFonts w:hint="eastAsia" w:ascii="仿宋_GB2312" w:hAnsi="仿宋_GB2312" w:eastAsia="仿宋_GB2312" w:cs="仿宋_GB2312"/>
          <w:spacing w:val="5"/>
          <w:sz w:val="32"/>
          <w:szCs w:val="32"/>
        </w:rPr>
        <w:t>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.1 了解通用安全技术，主要包括机械、电气、防火防爆、特种设备、危险作业、危险化学品等安全技术。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.2 </w:t>
      </w:r>
      <w:r>
        <w:rPr>
          <w:rFonts w:hint="eastAsia" w:ascii="仿宋_GB2312" w:hAnsi="仿宋_GB2312" w:eastAsia="仿宋_GB2312" w:cs="仿宋_GB2312"/>
          <w:snapToGrid w:val="0"/>
          <w:kern w:val="0"/>
          <w:sz w:val="32"/>
          <w:szCs w:val="32"/>
          <w:lang w:val="en-US" w:eastAsia="zh-CN"/>
        </w:rPr>
        <w:t>了解</w:t>
      </w:r>
      <w:r>
        <w:rPr>
          <w:rFonts w:hint="eastAsia" w:ascii="仿宋_GB2312" w:hAnsi="仿宋_GB2312" w:eastAsia="仿宋_GB2312" w:cs="仿宋_GB2312"/>
          <w:snapToGrid w:val="0"/>
          <w:kern w:val="0"/>
          <w:sz w:val="32"/>
          <w:szCs w:val="32"/>
        </w:rPr>
        <w:t>本行业安全生产专业技术</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能辨识、分析、评价作业场所和作业过程中存在的危险、有害因素</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pacing w:val="-8"/>
          <w:sz w:val="32"/>
          <w:szCs w:val="32"/>
        </w:rPr>
      </w:pPr>
      <w:bookmarkStart w:id="6" w:name="_Toc15203"/>
      <w:bookmarkStart w:id="7" w:name="_Toc207271451"/>
      <w:r>
        <w:rPr>
          <w:rFonts w:hint="eastAsia" w:ascii="黑体" w:hAnsi="黑体" w:eastAsia="黑体" w:cs="黑体"/>
          <w:b/>
          <w:bCs/>
          <w:spacing w:val="-8"/>
          <w:sz w:val="32"/>
          <w:szCs w:val="32"/>
        </w:rPr>
        <w:t>6 再培训要求</w:t>
      </w:r>
      <w:bookmarkEnd w:id="6"/>
      <w:r>
        <w:rPr>
          <w:rFonts w:hint="eastAsia" w:ascii="黑体" w:hAnsi="黑体" w:eastAsia="黑体" w:cs="黑体"/>
          <w:b/>
          <w:bCs/>
          <w:spacing w:val="-8"/>
          <w:sz w:val="32"/>
          <w:szCs w:val="32"/>
        </w:rPr>
        <w:t>和要点</w:t>
      </w:r>
      <w:bookmarkEnd w:id="7"/>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6.1 再培训要求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生产经营单位对</w:t>
      </w:r>
      <w:r>
        <w:rPr>
          <w:rFonts w:hint="eastAsia" w:ascii="仿宋_GB2312" w:hAnsi="仿宋_GB2312" w:eastAsia="仿宋_GB2312" w:cs="仿宋_GB2312"/>
          <w:bCs/>
          <w:kern w:val="0"/>
          <w:sz w:val="32"/>
          <w:szCs w:val="32"/>
          <w:lang w:val="en-US" w:eastAsia="zh-CN"/>
        </w:rPr>
        <w:t>主要负责人</w:t>
      </w:r>
      <w:r>
        <w:rPr>
          <w:rFonts w:hint="eastAsia" w:ascii="仿宋_GB2312" w:hAnsi="仿宋_GB2312" w:eastAsia="仿宋_GB2312" w:cs="仿宋_GB2312"/>
          <w:bCs/>
          <w:kern w:val="0"/>
          <w:sz w:val="32"/>
          <w:szCs w:val="32"/>
        </w:rPr>
        <w:t>再培训可制定相应计划，记录再培训情况，并按本大纲的再培训要点进行效果评估。</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6.2 再培训要点</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6.2.1</w:t>
      </w:r>
      <w:r>
        <w:rPr>
          <w:rFonts w:hint="eastAsia" w:ascii="仿宋_GB2312" w:hAnsi="仿宋_GB2312" w:eastAsia="仿宋_GB2312" w:cs="仿宋_GB2312"/>
          <w:bCs/>
          <w:sz w:val="32"/>
          <w:szCs w:val="32"/>
          <w:lang w:val="en-US" w:eastAsia="zh-CN"/>
        </w:rPr>
        <w:t>熟悉</w:t>
      </w:r>
      <w:r>
        <w:rPr>
          <w:rFonts w:hint="eastAsia" w:ascii="仿宋_GB2312" w:hAnsi="仿宋_GB2312" w:eastAsia="仿宋_GB2312" w:cs="仿宋_GB2312"/>
          <w:bCs/>
          <w:sz w:val="32"/>
          <w:szCs w:val="32"/>
        </w:rPr>
        <w:t>习近平总书记关于安全生产重要论述。</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6.2.2掌握安全生产最新法律法规、国家标准和行业标准。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6.2.3</w:t>
      </w:r>
      <w:r>
        <w:rPr>
          <w:rFonts w:hint="eastAsia" w:ascii="仿宋_GB2312" w:hAnsi="仿宋_GB2312" w:eastAsia="仿宋_GB2312" w:cs="仿宋_GB2312"/>
          <w:bCs/>
          <w:sz w:val="32"/>
          <w:szCs w:val="32"/>
          <w:lang w:val="en-US" w:eastAsia="zh-CN"/>
        </w:rPr>
        <w:t>了解</w:t>
      </w:r>
      <w:r>
        <w:rPr>
          <w:rFonts w:hint="eastAsia" w:ascii="仿宋_GB2312" w:hAnsi="仿宋_GB2312" w:eastAsia="仿宋_GB2312" w:cs="仿宋_GB2312"/>
          <w:bCs/>
          <w:sz w:val="32"/>
          <w:szCs w:val="32"/>
        </w:rPr>
        <w:t>本行业新材料、新设备、新工艺及新技术的安全技术要求。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6.2.4了解本行业国内外先进安全生产管理经验。</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6.2.5了解本行业</w:t>
      </w:r>
      <w:r>
        <w:rPr>
          <w:rFonts w:hint="eastAsia" w:ascii="仿宋_GB2312" w:hAnsi="仿宋_GB2312" w:eastAsia="仿宋_GB2312" w:cs="仿宋_GB2312"/>
          <w:bCs/>
          <w:sz w:val="32"/>
          <w:szCs w:val="32"/>
          <w:lang w:eastAsia="zh-CN"/>
        </w:rPr>
        <w:t>典型生产安全事故</w:t>
      </w:r>
      <w:r>
        <w:rPr>
          <w:rFonts w:hint="eastAsia" w:ascii="仿宋_GB2312" w:hAnsi="仿宋_GB2312" w:eastAsia="仿宋_GB2312" w:cs="仿宋_GB2312"/>
          <w:bCs/>
          <w:sz w:val="32"/>
          <w:szCs w:val="32"/>
        </w:rPr>
        <w:t>案例分析。</w:t>
      </w:r>
    </w:p>
    <w:sectPr>
      <w:footerReference r:id="rId3"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E0000AFF" w:usb1="500078FF" w:usb2="00000021" w:usb3="00000000" w:csb0="600001BF" w:csb1="DFF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75803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default" w:ascii="黑体" w:eastAsia="黑体"/>
        <w:b w:val="0"/>
        <w:i w:val="0"/>
        <w:sz w:val="32"/>
        <w:szCs w:val="32"/>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32"/>
        <w:szCs w:val="32"/>
        <w:u w:val="none"/>
        <w:vertAlign w:val="baseline"/>
      </w:rPr>
    </w:lvl>
    <w:lvl w:ilvl="3" w:tentative="0">
      <w:start w:val="1"/>
      <w:numFmt w:val="decimal"/>
      <w:suff w:val="nothing"/>
      <w:lvlText w:val="%1%2.%3.%4　"/>
      <w:lvlJc w:val="left"/>
      <w:pPr>
        <w:ind w:left="0" w:firstLine="0"/>
      </w:pPr>
      <w:rPr>
        <w:rFonts w:hint="default" w:ascii="黑体" w:eastAsia="黑体"/>
        <w:b w:val="0"/>
        <w:i w:val="0"/>
        <w:sz w:val="32"/>
        <w:szCs w:val="32"/>
      </w:rPr>
    </w:lvl>
    <w:lvl w:ilvl="4" w:tentative="0">
      <w:start w:val="1"/>
      <w:numFmt w:val="decimal"/>
      <w:suff w:val="nothing"/>
      <w:lvlText w:val="%1%2.%3.%4.%5　"/>
      <w:lvlJc w:val="left"/>
      <w:pPr>
        <w:ind w:left="0" w:firstLine="0"/>
      </w:pPr>
      <w:rPr>
        <w:rFonts w:hint="default" w:ascii="黑体" w:eastAsia="黑体"/>
        <w:b w:val="0"/>
        <w:i w:val="0"/>
        <w:sz w:val="32"/>
        <w:szCs w:val="32"/>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FD037F"/>
    <w:rsid w:val="000050F0"/>
    <w:rsid w:val="00006438"/>
    <w:rsid w:val="00012188"/>
    <w:rsid w:val="0001667E"/>
    <w:rsid w:val="00022C76"/>
    <w:rsid w:val="00023F42"/>
    <w:rsid w:val="00024243"/>
    <w:rsid w:val="00024539"/>
    <w:rsid w:val="00031884"/>
    <w:rsid w:val="00041367"/>
    <w:rsid w:val="0005195E"/>
    <w:rsid w:val="00051D7F"/>
    <w:rsid w:val="00056063"/>
    <w:rsid w:val="00061634"/>
    <w:rsid w:val="00072AC1"/>
    <w:rsid w:val="0007339F"/>
    <w:rsid w:val="00077CF7"/>
    <w:rsid w:val="00082C66"/>
    <w:rsid w:val="0008410F"/>
    <w:rsid w:val="00085B66"/>
    <w:rsid w:val="00087A26"/>
    <w:rsid w:val="000919F2"/>
    <w:rsid w:val="0009291F"/>
    <w:rsid w:val="000A07B2"/>
    <w:rsid w:val="000A1FC9"/>
    <w:rsid w:val="000B6246"/>
    <w:rsid w:val="000C076E"/>
    <w:rsid w:val="000C0BA4"/>
    <w:rsid w:val="000E1DCE"/>
    <w:rsid w:val="000F7203"/>
    <w:rsid w:val="00121716"/>
    <w:rsid w:val="00130138"/>
    <w:rsid w:val="0013016D"/>
    <w:rsid w:val="00145034"/>
    <w:rsid w:val="00146CAE"/>
    <w:rsid w:val="00150BA3"/>
    <w:rsid w:val="00156CA8"/>
    <w:rsid w:val="001855F8"/>
    <w:rsid w:val="001875AA"/>
    <w:rsid w:val="001934FF"/>
    <w:rsid w:val="001A6D8E"/>
    <w:rsid w:val="001C241A"/>
    <w:rsid w:val="001C2E95"/>
    <w:rsid w:val="001C45A6"/>
    <w:rsid w:val="001D69B0"/>
    <w:rsid w:val="001E7558"/>
    <w:rsid w:val="001F1CC2"/>
    <w:rsid w:val="00213EF5"/>
    <w:rsid w:val="002174A4"/>
    <w:rsid w:val="00222C24"/>
    <w:rsid w:val="00233487"/>
    <w:rsid w:val="00233F31"/>
    <w:rsid w:val="0023470A"/>
    <w:rsid w:val="00234A16"/>
    <w:rsid w:val="002453C8"/>
    <w:rsid w:val="00250498"/>
    <w:rsid w:val="00251CBA"/>
    <w:rsid w:val="002521A1"/>
    <w:rsid w:val="0027007B"/>
    <w:rsid w:val="002725E0"/>
    <w:rsid w:val="00293A02"/>
    <w:rsid w:val="00295D44"/>
    <w:rsid w:val="0029797F"/>
    <w:rsid w:val="002A004D"/>
    <w:rsid w:val="002C1DD6"/>
    <w:rsid w:val="002C404D"/>
    <w:rsid w:val="002C6AFC"/>
    <w:rsid w:val="002E2E7D"/>
    <w:rsid w:val="002E6715"/>
    <w:rsid w:val="002E7056"/>
    <w:rsid w:val="002F4FA3"/>
    <w:rsid w:val="00301BCF"/>
    <w:rsid w:val="0032125A"/>
    <w:rsid w:val="00327BE6"/>
    <w:rsid w:val="003401E5"/>
    <w:rsid w:val="00361C5E"/>
    <w:rsid w:val="00362F19"/>
    <w:rsid w:val="00395985"/>
    <w:rsid w:val="00395F90"/>
    <w:rsid w:val="003A3A48"/>
    <w:rsid w:val="003A5E82"/>
    <w:rsid w:val="003D1A11"/>
    <w:rsid w:val="003D542B"/>
    <w:rsid w:val="003D77C1"/>
    <w:rsid w:val="003E667E"/>
    <w:rsid w:val="00400287"/>
    <w:rsid w:val="0041105E"/>
    <w:rsid w:val="004110A2"/>
    <w:rsid w:val="00425E89"/>
    <w:rsid w:val="004439F9"/>
    <w:rsid w:val="00451E53"/>
    <w:rsid w:val="00462619"/>
    <w:rsid w:val="00465906"/>
    <w:rsid w:val="004705DD"/>
    <w:rsid w:val="004803CE"/>
    <w:rsid w:val="00482328"/>
    <w:rsid w:val="00493142"/>
    <w:rsid w:val="00494C86"/>
    <w:rsid w:val="004B0D83"/>
    <w:rsid w:val="004B1BF0"/>
    <w:rsid w:val="004B6B26"/>
    <w:rsid w:val="004C77CE"/>
    <w:rsid w:val="004D2C4F"/>
    <w:rsid w:val="004E3709"/>
    <w:rsid w:val="004E770B"/>
    <w:rsid w:val="004F492E"/>
    <w:rsid w:val="004F548A"/>
    <w:rsid w:val="00510826"/>
    <w:rsid w:val="00517D97"/>
    <w:rsid w:val="005231C8"/>
    <w:rsid w:val="00551CC2"/>
    <w:rsid w:val="00552F19"/>
    <w:rsid w:val="00557418"/>
    <w:rsid w:val="0056507E"/>
    <w:rsid w:val="00572B6C"/>
    <w:rsid w:val="00597F7E"/>
    <w:rsid w:val="005A1622"/>
    <w:rsid w:val="005C24E8"/>
    <w:rsid w:val="005C73BB"/>
    <w:rsid w:val="005D6AF1"/>
    <w:rsid w:val="005F4CCC"/>
    <w:rsid w:val="006203A6"/>
    <w:rsid w:val="00622E16"/>
    <w:rsid w:val="006317A4"/>
    <w:rsid w:val="00631BD2"/>
    <w:rsid w:val="00647FEB"/>
    <w:rsid w:val="006511F6"/>
    <w:rsid w:val="00655C68"/>
    <w:rsid w:val="0066340A"/>
    <w:rsid w:val="006668F3"/>
    <w:rsid w:val="00674FF3"/>
    <w:rsid w:val="006757DB"/>
    <w:rsid w:val="006843DD"/>
    <w:rsid w:val="006A132D"/>
    <w:rsid w:val="006B2DFD"/>
    <w:rsid w:val="006B50D5"/>
    <w:rsid w:val="006C50E2"/>
    <w:rsid w:val="006C5211"/>
    <w:rsid w:val="006C5A05"/>
    <w:rsid w:val="006C623D"/>
    <w:rsid w:val="006E3AF0"/>
    <w:rsid w:val="006E3B80"/>
    <w:rsid w:val="006E58C7"/>
    <w:rsid w:val="006E6CF4"/>
    <w:rsid w:val="006F31A3"/>
    <w:rsid w:val="00707BDD"/>
    <w:rsid w:val="0071302F"/>
    <w:rsid w:val="00716211"/>
    <w:rsid w:val="00723016"/>
    <w:rsid w:val="00735619"/>
    <w:rsid w:val="0074329F"/>
    <w:rsid w:val="007432B9"/>
    <w:rsid w:val="00743ADD"/>
    <w:rsid w:val="007456EE"/>
    <w:rsid w:val="007752C6"/>
    <w:rsid w:val="00777B06"/>
    <w:rsid w:val="007958E0"/>
    <w:rsid w:val="007A04A9"/>
    <w:rsid w:val="007A2752"/>
    <w:rsid w:val="007A3DB5"/>
    <w:rsid w:val="007A6FCF"/>
    <w:rsid w:val="007B37D7"/>
    <w:rsid w:val="007C4B2B"/>
    <w:rsid w:val="007D3488"/>
    <w:rsid w:val="007D774A"/>
    <w:rsid w:val="007D78A2"/>
    <w:rsid w:val="00806EDD"/>
    <w:rsid w:val="008072D4"/>
    <w:rsid w:val="00813AA9"/>
    <w:rsid w:val="008222B3"/>
    <w:rsid w:val="008562AA"/>
    <w:rsid w:val="00874CB0"/>
    <w:rsid w:val="0088457D"/>
    <w:rsid w:val="008956D8"/>
    <w:rsid w:val="00897350"/>
    <w:rsid w:val="008A0D87"/>
    <w:rsid w:val="008A3D13"/>
    <w:rsid w:val="008A6E85"/>
    <w:rsid w:val="008C0D94"/>
    <w:rsid w:val="008C6603"/>
    <w:rsid w:val="008D18FF"/>
    <w:rsid w:val="008E528A"/>
    <w:rsid w:val="00903D5C"/>
    <w:rsid w:val="00905018"/>
    <w:rsid w:val="00922675"/>
    <w:rsid w:val="00924920"/>
    <w:rsid w:val="0092543A"/>
    <w:rsid w:val="00926085"/>
    <w:rsid w:val="009266AF"/>
    <w:rsid w:val="00927B5E"/>
    <w:rsid w:val="009334E4"/>
    <w:rsid w:val="00933683"/>
    <w:rsid w:val="00935C65"/>
    <w:rsid w:val="0093614B"/>
    <w:rsid w:val="00945D3C"/>
    <w:rsid w:val="009609AE"/>
    <w:rsid w:val="00966ED9"/>
    <w:rsid w:val="00967954"/>
    <w:rsid w:val="0097311D"/>
    <w:rsid w:val="00974C81"/>
    <w:rsid w:val="00985BB7"/>
    <w:rsid w:val="00987B61"/>
    <w:rsid w:val="009902CD"/>
    <w:rsid w:val="0099665D"/>
    <w:rsid w:val="00997507"/>
    <w:rsid w:val="009A5457"/>
    <w:rsid w:val="009B2FAE"/>
    <w:rsid w:val="009C24F4"/>
    <w:rsid w:val="009C4E32"/>
    <w:rsid w:val="009D04B4"/>
    <w:rsid w:val="009D215F"/>
    <w:rsid w:val="009F5A55"/>
    <w:rsid w:val="009F72BB"/>
    <w:rsid w:val="00A00326"/>
    <w:rsid w:val="00A15A29"/>
    <w:rsid w:val="00A26962"/>
    <w:rsid w:val="00A50F69"/>
    <w:rsid w:val="00A63297"/>
    <w:rsid w:val="00A647C3"/>
    <w:rsid w:val="00A7634E"/>
    <w:rsid w:val="00A82796"/>
    <w:rsid w:val="00A82B62"/>
    <w:rsid w:val="00A947EB"/>
    <w:rsid w:val="00AA5501"/>
    <w:rsid w:val="00AB074C"/>
    <w:rsid w:val="00AC3025"/>
    <w:rsid w:val="00AC555E"/>
    <w:rsid w:val="00AD088B"/>
    <w:rsid w:val="00AE65BD"/>
    <w:rsid w:val="00B012D7"/>
    <w:rsid w:val="00B11B6A"/>
    <w:rsid w:val="00B21CEA"/>
    <w:rsid w:val="00B255CD"/>
    <w:rsid w:val="00B30B17"/>
    <w:rsid w:val="00B33D05"/>
    <w:rsid w:val="00B4287B"/>
    <w:rsid w:val="00B659C3"/>
    <w:rsid w:val="00B71DA5"/>
    <w:rsid w:val="00B86BC1"/>
    <w:rsid w:val="00BB0434"/>
    <w:rsid w:val="00BB1D08"/>
    <w:rsid w:val="00BB2566"/>
    <w:rsid w:val="00BD0ABD"/>
    <w:rsid w:val="00BD747F"/>
    <w:rsid w:val="00BF543B"/>
    <w:rsid w:val="00BF7B53"/>
    <w:rsid w:val="00C135CA"/>
    <w:rsid w:val="00C32E12"/>
    <w:rsid w:val="00C61C35"/>
    <w:rsid w:val="00C663F5"/>
    <w:rsid w:val="00C77382"/>
    <w:rsid w:val="00C81F54"/>
    <w:rsid w:val="00C85695"/>
    <w:rsid w:val="00C87604"/>
    <w:rsid w:val="00C96B25"/>
    <w:rsid w:val="00CB1E42"/>
    <w:rsid w:val="00CD5D8F"/>
    <w:rsid w:val="00CE1BFC"/>
    <w:rsid w:val="00CE7BA9"/>
    <w:rsid w:val="00D01278"/>
    <w:rsid w:val="00D03779"/>
    <w:rsid w:val="00D05D4D"/>
    <w:rsid w:val="00D10A5C"/>
    <w:rsid w:val="00D14465"/>
    <w:rsid w:val="00D264E8"/>
    <w:rsid w:val="00D27F1E"/>
    <w:rsid w:val="00D3212D"/>
    <w:rsid w:val="00D3777D"/>
    <w:rsid w:val="00D40C2E"/>
    <w:rsid w:val="00D43DFB"/>
    <w:rsid w:val="00D44ACC"/>
    <w:rsid w:val="00D45A03"/>
    <w:rsid w:val="00D500F8"/>
    <w:rsid w:val="00D60F40"/>
    <w:rsid w:val="00D652BC"/>
    <w:rsid w:val="00D65E62"/>
    <w:rsid w:val="00D91C4F"/>
    <w:rsid w:val="00DA4819"/>
    <w:rsid w:val="00DA7A04"/>
    <w:rsid w:val="00DB2F9E"/>
    <w:rsid w:val="00DB5571"/>
    <w:rsid w:val="00DC51F5"/>
    <w:rsid w:val="00DD4030"/>
    <w:rsid w:val="00DD5B67"/>
    <w:rsid w:val="00DD5E2D"/>
    <w:rsid w:val="00DF7ECC"/>
    <w:rsid w:val="00E03F19"/>
    <w:rsid w:val="00E075A5"/>
    <w:rsid w:val="00E0770D"/>
    <w:rsid w:val="00E122EB"/>
    <w:rsid w:val="00E20627"/>
    <w:rsid w:val="00E21723"/>
    <w:rsid w:val="00E31834"/>
    <w:rsid w:val="00E54F5D"/>
    <w:rsid w:val="00E57E18"/>
    <w:rsid w:val="00E64391"/>
    <w:rsid w:val="00E66E41"/>
    <w:rsid w:val="00E70496"/>
    <w:rsid w:val="00E73F1E"/>
    <w:rsid w:val="00E865C2"/>
    <w:rsid w:val="00E96EC1"/>
    <w:rsid w:val="00EA2EF4"/>
    <w:rsid w:val="00EC3797"/>
    <w:rsid w:val="00ED5DF0"/>
    <w:rsid w:val="00ED6A3E"/>
    <w:rsid w:val="00ED7296"/>
    <w:rsid w:val="00EE7B07"/>
    <w:rsid w:val="00EE7BB7"/>
    <w:rsid w:val="00EF1368"/>
    <w:rsid w:val="00EF2313"/>
    <w:rsid w:val="00F005B8"/>
    <w:rsid w:val="00F05468"/>
    <w:rsid w:val="00F07ED7"/>
    <w:rsid w:val="00F12656"/>
    <w:rsid w:val="00F231FA"/>
    <w:rsid w:val="00F239D2"/>
    <w:rsid w:val="00F37A23"/>
    <w:rsid w:val="00F5670A"/>
    <w:rsid w:val="00F70CDC"/>
    <w:rsid w:val="00F7158D"/>
    <w:rsid w:val="00F74427"/>
    <w:rsid w:val="00F7518C"/>
    <w:rsid w:val="00F841FD"/>
    <w:rsid w:val="00F86295"/>
    <w:rsid w:val="00F923F2"/>
    <w:rsid w:val="00FA378B"/>
    <w:rsid w:val="00FB0167"/>
    <w:rsid w:val="00FB4062"/>
    <w:rsid w:val="00FC0B28"/>
    <w:rsid w:val="00FC4CC6"/>
    <w:rsid w:val="010351AA"/>
    <w:rsid w:val="01227D26"/>
    <w:rsid w:val="013C06BC"/>
    <w:rsid w:val="016C0FA1"/>
    <w:rsid w:val="01E90844"/>
    <w:rsid w:val="02441F1E"/>
    <w:rsid w:val="02457A2C"/>
    <w:rsid w:val="02685C0C"/>
    <w:rsid w:val="027F4D04"/>
    <w:rsid w:val="029F0F02"/>
    <w:rsid w:val="02B20C36"/>
    <w:rsid w:val="02C95F7F"/>
    <w:rsid w:val="036A59B4"/>
    <w:rsid w:val="0370464D"/>
    <w:rsid w:val="037B371D"/>
    <w:rsid w:val="039D7B38"/>
    <w:rsid w:val="03A34A22"/>
    <w:rsid w:val="03B76A2D"/>
    <w:rsid w:val="03D1333D"/>
    <w:rsid w:val="03F11C32"/>
    <w:rsid w:val="04247911"/>
    <w:rsid w:val="04477AA3"/>
    <w:rsid w:val="04910D1F"/>
    <w:rsid w:val="04AB0032"/>
    <w:rsid w:val="04CD61FB"/>
    <w:rsid w:val="04DE21B6"/>
    <w:rsid w:val="04EB042F"/>
    <w:rsid w:val="04F96FF0"/>
    <w:rsid w:val="050F05C1"/>
    <w:rsid w:val="05545FD4"/>
    <w:rsid w:val="05C25634"/>
    <w:rsid w:val="060E0879"/>
    <w:rsid w:val="06840B3B"/>
    <w:rsid w:val="06A27213"/>
    <w:rsid w:val="06AE7966"/>
    <w:rsid w:val="06D80E87"/>
    <w:rsid w:val="06E94E42"/>
    <w:rsid w:val="072D4D2F"/>
    <w:rsid w:val="072F4F4B"/>
    <w:rsid w:val="07465DF0"/>
    <w:rsid w:val="078E1545"/>
    <w:rsid w:val="07A11279"/>
    <w:rsid w:val="07AF7E3A"/>
    <w:rsid w:val="07D258D6"/>
    <w:rsid w:val="082C3238"/>
    <w:rsid w:val="083B347B"/>
    <w:rsid w:val="08577C79"/>
    <w:rsid w:val="08716E9D"/>
    <w:rsid w:val="08C90A87"/>
    <w:rsid w:val="08DC4C5E"/>
    <w:rsid w:val="092403B3"/>
    <w:rsid w:val="092E0FBB"/>
    <w:rsid w:val="095F3199"/>
    <w:rsid w:val="096D3B08"/>
    <w:rsid w:val="099A0675"/>
    <w:rsid w:val="0A026946"/>
    <w:rsid w:val="0A326B00"/>
    <w:rsid w:val="0A3665F0"/>
    <w:rsid w:val="0A6071C9"/>
    <w:rsid w:val="0A6A629A"/>
    <w:rsid w:val="0A9D666F"/>
    <w:rsid w:val="0ADD6A6C"/>
    <w:rsid w:val="0AE55920"/>
    <w:rsid w:val="0B472137"/>
    <w:rsid w:val="0B896BF3"/>
    <w:rsid w:val="0C126BE9"/>
    <w:rsid w:val="0C152235"/>
    <w:rsid w:val="0C1F4E62"/>
    <w:rsid w:val="0C210BDA"/>
    <w:rsid w:val="0C547201"/>
    <w:rsid w:val="0C632FA1"/>
    <w:rsid w:val="0C662A91"/>
    <w:rsid w:val="0CA21D1B"/>
    <w:rsid w:val="0CE560AB"/>
    <w:rsid w:val="0CEA36C2"/>
    <w:rsid w:val="0CF25558"/>
    <w:rsid w:val="0CFC1524"/>
    <w:rsid w:val="0D091D9A"/>
    <w:rsid w:val="0D1B1ACD"/>
    <w:rsid w:val="0D270472"/>
    <w:rsid w:val="0D336E17"/>
    <w:rsid w:val="0D38442D"/>
    <w:rsid w:val="0DB07E20"/>
    <w:rsid w:val="0DBA3AA3"/>
    <w:rsid w:val="0DD24882"/>
    <w:rsid w:val="0DEB5944"/>
    <w:rsid w:val="0E1C5AFD"/>
    <w:rsid w:val="0E250E55"/>
    <w:rsid w:val="0E5928AD"/>
    <w:rsid w:val="0E6354DA"/>
    <w:rsid w:val="0E686F94"/>
    <w:rsid w:val="0E8536A2"/>
    <w:rsid w:val="0EA77ABC"/>
    <w:rsid w:val="0EAA11F9"/>
    <w:rsid w:val="0ED308B1"/>
    <w:rsid w:val="0EF56A7A"/>
    <w:rsid w:val="0F4B669A"/>
    <w:rsid w:val="0F5F0397"/>
    <w:rsid w:val="0F670FFA"/>
    <w:rsid w:val="0F784FB5"/>
    <w:rsid w:val="101C0036"/>
    <w:rsid w:val="10480E2B"/>
    <w:rsid w:val="10C75DB2"/>
    <w:rsid w:val="10D26947"/>
    <w:rsid w:val="110A4333"/>
    <w:rsid w:val="11895257"/>
    <w:rsid w:val="11E84674"/>
    <w:rsid w:val="11EE155E"/>
    <w:rsid w:val="12623816"/>
    <w:rsid w:val="12942106"/>
    <w:rsid w:val="12957C2C"/>
    <w:rsid w:val="12C0114D"/>
    <w:rsid w:val="12C66037"/>
    <w:rsid w:val="12E52961"/>
    <w:rsid w:val="13031039"/>
    <w:rsid w:val="132D60B6"/>
    <w:rsid w:val="13946135"/>
    <w:rsid w:val="13A4281C"/>
    <w:rsid w:val="13E76BAD"/>
    <w:rsid w:val="14425B91"/>
    <w:rsid w:val="145A112D"/>
    <w:rsid w:val="146124BC"/>
    <w:rsid w:val="14942891"/>
    <w:rsid w:val="14A979BF"/>
    <w:rsid w:val="14B836DE"/>
    <w:rsid w:val="14BB6070"/>
    <w:rsid w:val="14C71D43"/>
    <w:rsid w:val="15475B55"/>
    <w:rsid w:val="155E4C4D"/>
    <w:rsid w:val="156F6E5A"/>
    <w:rsid w:val="15CE1DD3"/>
    <w:rsid w:val="1626576B"/>
    <w:rsid w:val="163D0D06"/>
    <w:rsid w:val="16816E45"/>
    <w:rsid w:val="16AB5C70"/>
    <w:rsid w:val="170D06D9"/>
    <w:rsid w:val="17147CB9"/>
    <w:rsid w:val="171B1048"/>
    <w:rsid w:val="17681DB3"/>
    <w:rsid w:val="17887D5F"/>
    <w:rsid w:val="17966920"/>
    <w:rsid w:val="17BB1EE3"/>
    <w:rsid w:val="17E70F2A"/>
    <w:rsid w:val="1820443C"/>
    <w:rsid w:val="18716A45"/>
    <w:rsid w:val="18A64941"/>
    <w:rsid w:val="18AA0265"/>
    <w:rsid w:val="18D019BE"/>
    <w:rsid w:val="18D23988"/>
    <w:rsid w:val="18F356AC"/>
    <w:rsid w:val="18FC362D"/>
    <w:rsid w:val="192F0DDA"/>
    <w:rsid w:val="193B777F"/>
    <w:rsid w:val="19766A09"/>
    <w:rsid w:val="199D21E8"/>
    <w:rsid w:val="19B60BB4"/>
    <w:rsid w:val="19CC03D7"/>
    <w:rsid w:val="19E41BC5"/>
    <w:rsid w:val="19E82D37"/>
    <w:rsid w:val="1A18361C"/>
    <w:rsid w:val="1A27385F"/>
    <w:rsid w:val="1A355B24"/>
    <w:rsid w:val="1A642D06"/>
    <w:rsid w:val="1A75281D"/>
    <w:rsid w:val="1A8E38DF"/>
    <w:rsid w:val="1A9B5FFB"/>
    <w:rsid w:val="1A9F789A"/>
    <w:rsid w:val="1AA03612"/>
    <w:rsid w:val="1AEB2ADF"/>
    <w:rsid w:val="1AF71484"/>
    <w:rsid w:val="1AF8344E"/>
    <w:rsid w:val="1AFE6CB6"/>
    <w:rsid w:val="1B171B26"/>
    <w:rsid w:val="1B293607"/>
    <w:rsid w:val="1B80591D"/>
    <w:rsid w:val="1B9E5DA3"/>
    <w:rsid w:val="1BA210A1"/>
    <w:rsid w:val="1C13053F"/>
    <w:rsid w:val="1C8B27CB"/>
    <w:rsid w:val="1CC17F9B"/>
    <w:rsid w:val="1CC63804"/>
    <w:rsid w:val="1CCE4466"/>
    <w:rsid w:val="1D344C11"/>
    <w:rsid w:val="1DCE22F6"/>
    <w:rsid w:val="1DE859FC"/>
    <w:rsid w:val="1DF24184"/>
    <w:rsid w:val="1DF95513"/>
    <w:rsid w:val="1DFE521F"/>
    <w:rsid w:val="1E0565AE"/>
    <w:rsid w:val="1E0740D4"/>
    <w:rsid w:val="1E4A5D6E"/>
    <w:rsid w:val="1E827BFE"/>
    <w:rsid w:val="1EE066D3"/>
    <w:rsid w:val="1F026649"/>
    <w:rsid w:val="1FD224BF"/>
    <w:rsid w:val="203767C6"/>
    <w:rsid w:val="207277FE"/>
    <w:rsid w:val="20BBF58E"/>
    <w:rsid w:val="20D81D57"/>
    <w:rsid w:val="211F7986"/>
    <w:rsid w:val="214E201A"/>
    <w:rsid w:val="21676C37"/>
    <w:rsid w:val="21AD0AEE"/>
    <w:rsid w:val="21E93AF0"/>
    <w:rsid w:val="2241392C"/>
    <w:rsid w:val="225673D8"/>
    <w:rsid w:val="22592A24"/>
    <w:rsid w:val="22723AE6"/>
    <w:rsid w:val="22CA1B74"/>
    <w:rsid w:val="22D8603F"/>
    <w:rsid w:val="22DE117B"/>
    <w:rsid w:val="231A0405"/>
    <w:rsid w:val="23CD36CA"/>
    <w:rsid w:val="23E427C1"/>
    <w:rsid w:val="241412F8"/>
    <w:rsid w:val="241F1A4B"/>
    <w:rsid w:val="242552B4"/>
    <w:rsid w:val="242B4894"/>
    <w:rsid w:val="24303C58"/>
    <w:rsid w:val="24594F5D"/>
    <w:rsid w:val="247507F8"/>
    <w:rsid w:val="24C85C3F"/>
    <w:rsid w:val="24DE1906"/>
    <w:rsid w:val="24F84776"/>
    <w:rsid w:val="252C08C4"/>
    <w:rsid w:val="25710085"/>
    <w:rsid w:val="25C24D84"/>
    <w:rsid w:val="25C64874"/>
    <w:rsid w:val="25D725DE"/>
    <w:rsid w:val="26031625"/>
    <w:rsid w:val="260929B3"/>
    <w:rsid w:val="267B5911"/>
    <w:rsid w:val="26946721"/>
    <w:rsid w:val="26B741BD"/>
    <w:rsid w:val="27767BD4"/>
    <w:rsid w:val="27934C2A"/>
    <w:rsid w:val="279F712B"/>
    <w:rsid w:val="27B23302"/>
    <w:rsid w:val="27CC5A46"/>
    <w:rsid w:val="27F05BD9"/>
    <w:rsid w:val="281F026C"/>
    <w:rsid w:val="28327F9F"/>
    <w:rsid w:val="284321AC"/>
    <w:rsid w:val="28C037FD"/>
    <w:rsid w:val="29183639"/>
    <w:rsid w:val="294A1318"/>
    <w:rsid w:val="29565F0F"/>
    <w:rsid w:val="29D15596"/>
    <w:rsid w:val="29DF18FC"/>
    <w:rsid w:val="29E277A3"/>
    <w:rsid w:val="29EC0622"/>
    <w:rsid w:val="2A27165A"/>
    <w:rsid w:val="2A4820D7"/>
    <w:rsid w:val="2A506E02"/>
    <w:rsid w:val="2A7F4FF2"/>
    <w:rsid w:val="2A810D6A"/>
    <w:rsid w:val="2AAF4DCD"/>
    <w:rsid w:val="2ABA24CE"/>
    <w:rsid w:val="2AE9690F"/>
    <w:rsid w:val="2B1E2A5D"/>
    <w:rsid w:val="2B342280"/>
    <w:rsid w:val="2B603075"/>
    <w:rsid w:val="2B612949"/>
    <w:rsid w:val="2B8A6344"/>
    <w:rsid w:val="2B944ACD"/>
    <w:rsid w:val="2BA2368E"/>
    <w:rsid w:val="2BDE3F9A"/>
    <w:rsid w:val="2BFB4B4C"/>
    <w:rsid w:val="2C0E0D23"/>
    <w:rsid w:val="2C3F0EDD"/>
    <w:rsid w:val="2C5867E5"/>
    <w:rsid w:val="2C6B7F24"/>
    <w:rsid w:val="2CA46F92"/>
    <w:rsid w:val="2CBC42DB"/>
    <w:rsid w:val="2D2500D2"/>
    <w:rsid w:val="2D3E2F42"/>
    <w:rsid w:val="2D5409B8"/>
    <w:rsid w:val="2DB43204"/>
    <w:rsid w:val="2DC86CB0"/>
    <w:rsid w:val="2DFD2DFD"/>
    <w:rsid w:val="2E33681F"/>
    <w:rsid w:val="2EA339A5"/>
    <w:rsid w:val="2EB86D24"/>
    <w:rsid w:val="2EBC6814"/>
    <w:rsid w:val="2ECB2EFB"/>
    <w:rsid w:val="2EE45D6B"/>
    <w:rsid w:val="2EF04710"/>
    <w:rsid w:val="2F034443"/>
    <w:rsid w:val="2F320885"/>
    <w:rsid w:val="2F57478F"/>
    <w:rsid w:val="2F594063"/>
    <w:rsid w:val="2FC71915"/>
    <w:rsid w:val="2FDE6C5E"/>
    <w:rsid w:val="300C37CC"/>
    <w:rsid w:val="301601A6"/>
    <w:rsid w:val="301D32E3"/>
    <w:rsid w:val="30907F59"/>
    <w:rsid w:val="30AE03DF"/>
    <w:rsid w:val="30C220DC"/>
    <w:rsid w:val="31464ABB"/>
    <w:rsid w:val="318A49A8"/>
    <w:rsid w:val="31D9148B"/>
    <w:rsid w:val="31DE2F46"/>
    <w:rsid w:val="31EE13DB"/>
    <w:rsid w:val="32427031"/>
    <w:rsid w:val="32456B21"/>
    <w:rsid w:val="32803FFD"/>
    <w:rsid w:val="32AF043E"/>
    <w:rsid w:val="32FD564D"/>
    <w:rsid w:val="33024A12"/>
    <w:rsid w:val="330B7D6A"/>
    <w:rsid w:val="33134E71"/>
    <w:rsid w:val="33294694"/>
    <w:rsid w:val="33596D28"/>
    <w:rsid w:val="33890C8F"/>
    <w:rsid w:val="338B0EAB"/>
    <w:rsid w:val="33A45AC9"/>
    <w:rsid w:val="342509B8"/>
    <w:rsid w:val="34515C51"/>
    <w:rsid w:val="347B2CCE"/>
    <w:rsid w:val="347D25A2"/>
    <w:rsid w:val="34A57D4B"/>
    <w:rsid w:val="3522139B"/>
    <w:rsid w:val="35466E38"/>
    <w:rsid w:val="359E4EC6"/>
    <w:rsid w:val="35CF524D"/>
    <w:rsid w:val="36015455"/>
    <w:rsid w:val="361B6516"/>
    <w:rsid w:val="36243D90"/>
    <w:rsid w:val="36625EF3"/>
    <w:rsid w:val="366E2AEA"/>
    <w:rsid w:val="368A71F8"/>
    <w:rsid w:val="36BA5D2F"/>
    <w:rsid w:val="36C46BAE"/>
    <w:rsid w:val="36DB3EF8"/>
    <w:rsid w:val="36E56B24"/>
    <w:rsid w:val="36E763F9"/>
    <w:rsid w:val="37070849"/>
    <w:rsid w:val="37427AD3"/>
    <w:rsid w:val="375C0B95"/>
    <w:rsid w:val="37C87FD8"/>
    <w:rsid w:val="38206066"/>
    <w:rsid w:val="382B67B9"/>
    <w:rsid w:val="385B0E4C"/>
    <w:rsid w:val="3872263A"/>
    <w:rsid w:val="388859B9"/>
    <w:rsid w:val="38BD5663"/>
    <w:rsid w:val="38C56C0D"/>
    <w:rsid w:val="390C65EA"/>
    <w:rsid w:val="39700927"/>
    <w:rsid w:val="39D54C2E"/>
    <w:rsid w:val="39E6508D"/>
    <w:rsid w:val="39E66E3B"/>
    <w:rsid w:val="39FE4185"/>
    <w:rsid w:val="39FF1CAB"/>
    <w:rsid w:val="3A5162F8"/>
    <w:rsid w:val="3A797CAF"/>
    <w:rsid w:val="3ABE56C2"/>
    <w:rsid w:val="3AC3717D"/>
    <w:rsid w:val="3B356485"/>
    <w:rsid w:val="3B653D90"/>
    <w:rsid w:val="3B7F30A4"/>
    <w:rsid w:val="3B9C1EA7"/>
    <w:rsid w:val="3BDE4717"/>
    <w:rsid w:val="3BF5780A"/>
    <w:rsid w:val="3BF770DE"/>
    <w:rsid w:val="3C1732DC"/>
    <w:rsid w:val="3C2C6CFD"/>
    <w:rsid w:val="3C3436C9"/>
    <w:rsid w:val="3C681D8A"/>
    <w:rsid w:val="3C6F136A"/>
    <w:rsid w:val="3C885F88"/>
    <w:rsid w:val="3C9E1C4F"/>
    <w:rsid w:val="3CC66AB0"/>
    <w:rsid w:val="3CEF4259"/>
    <w:rsid w:val="3D346110"/>
    <w:rsid w:val="3D4F4CF8"/>
    <w:rsid w:val="3D6764E5"/>
    <w:rsid w:val="3DF00B18"/>
    <w:rsid w:val="3E3A59A8"/>
    <w:rsid w:val="3E815385"/>
    <w:rsid w:val="3E8A248B"/>
    <w:rsid w:val="3ECD4126"/>
    <w:rsid w:val="3F2C3542"/>
    <w:rsid w:val="3F760C61"/>
    <w:rsid w:val="3F8A2017"/>
    <w:rsid w:val="3FA13628"/>
    <w:rsid w:val="40503261"/>
    <w:rsid w:val="406805AA"/>
    <w:rsid w:val="40FA4F7A"/>
    <w:rsid w:val="42274495"/>
    <w:rsid w:val="4235270E"/>
    <w:rsid w:val="423C1CEE"/>
    <w:rsid w:val="4242307D"/>
    <w:rsid w:val="426E5C20"/>
    <w:rsid w:val="42982C9D"/>
    <w:rsid w:val="42B5384F"/>
    <w:rsid w:val="42E303BC"/>
    <w:rsid w:val="431762B8"/>
    <w:rsid w:val="432D7889"/>
    <w:rsid w:val="43317379"/>
    <w:rsid w:val="43655275"/>
    <w:rsid w:val="436C03B1"/>
    <w:rsid w:val="4392593E"/>
    <w:rsid w:val="440F5D26"/>
    <w:rsid w:val="44136A7F"/>
    <w:rsid w:val="44DF2E05"/>
    <w:rsid w:val="45034D45"/>
    <w:rsid w:val="452E1696"/>
    <w:rsid w:val="452F5B59"/>
    <w:rsid w:val="456357E4"/>
    <w:rsid w:val="45637592"/>
    <w:rsid w:val="45765517"/>
    <w:rsid w:val="4607616F"/>
    <w:rsid w:val="461D1E37"/>
    <w:rsid w:val="46396545"/>
    <w:rsid w:val="464A2500"/>
    <w:rsid w:val="4678706D"/>
    <w:rsid w:val="469B0FAE"/>
    <w:rsid w:val="46A936CA"/>
    <w:rsid w:val="46B502C1"/>
    <w:rsid w:val="470362D1"/>
    <w:rsid w:val="473531B0"/>
    <w:rsid w:val="475353E4"/>
    <w:rsid w:val="475F52E8"/>
    <w:rsid w:val="478A34FC"/>
    <w:rsid w:val="47C14A44"/>
    <w:rsid w:val="48102333"/>
    <w:rsid w:val="481903DC"/>
    <w:rsid w:val="484F3DFE"/>
    <w:rsid w:val="485D29BF"/>
    <w:rsid w:val="48743864"/>
    <w:rsid w:val="48897310"/>
    <w:rsid w:val="48BA396D"/>
    <w:rsid w:val="48DF1625"/>
    <w:rsid w:val="48F13107"/>
    <w:rsid w:val="4916491B"/>
    <w:rsid w:val="49663AF5"/>
    <w:rsid w:val="496D09DF"/>
    <w:rsid w:val="4972249A"/>
    <w:rsid w:val="49AB59AC"/>
    <w:rsid w:val="49DB1DED"/>
    <w:rsid w:val="4A525E27"/>
    <w:rsid w:val="4A6F4C2B"/>
    <w:rsid w:val="4AC960E9"/>
    <w:rsid w:val="4B154342"/>
    <w:rsid w:val="4B26353C"/>
    <w:rsid w:val="4B4571F0"/>
    <w:rsid w:val="4B5A00B8"/>
    <w:rsid w:val="4B7F49FA"/>
    <w:rsid w:val="4BDA4326"/>
    <w:rsid w:val="4BDB2578"/>
    <w:rsid w:val="4C251A45"/>
    <w:rsid w:val="4C527DBA"/>
    <w:rsid w:val="4CA02E7A"/>
    <w:rsid w:val="4CBE1552"/>
    <w:rsid w:val="4CCE3E8B"/>
    <w:rsid w:val="4CDF7E46"/>
    <w:rsid w:val="4CE94821"/>
    <w:rsid w:val="4CFF2296"/>
    <w:rsid w:val="4DF25957"/>
    <w:rsid w:val="4E9133C2"/>
    <w:rsid w:val="4E9C3B15"/>
    <w:rsid w:val="4EEF1E97"/>
    <w:rsid w:val="4F512B51"/>
    <w:rsid w:val="4F5A491C"/>
    <w:rsid w:val="4F860A4D"/>
    <w:rsid w:val="4F8922EB"/>
    <w:rsid w:val="4F912F4E"/>
    <w:rsid w:val="4FE94417"/>
    <w:rsid w:val="50483F54"/>
    <w:rsid w:val="508807F5"/>
    <w:rsid w:val="50A05B3E"/>
    <w:rsid w:val="50BE5FC4"/>
    <w:rsid w:val="51053BF3"/>
    <w:rsid w:val="517B2107"/>
    <w:rsid w:val="51AF590D"/>
    <w:rsid w:val="522B58DB"/>
    <w:rsid w:val="528157DC"/>
    <w:rsid w:val="533B1C60"/>
    <w:rsid w:val="534A1D91"/>
    <w:rsid w:val="53607919"/>
    <w:rsid w:val="539179C0"/>
    <w:rsid w:val="539349F0"/>
    <w:rsid w:val="53E915AA"/>
    <w:rsid w:val="5458228C"/>
    <w:rsid w:val="54694499"/>
    <w:rsid w:val="54751090"/>
    <w:rsid w:val="54AB4AB2"/>
    <w:rsid w:val="54AF6350"/>
    <w:rsid w:val="54CD2C7A"/>
    <w:rsid w:val="55006BAB"/>
    <w:rsid w:val="55144405"/>
    <w:rsid w:val="5563538C"/>
    <w:rsid w:val="55B6370E"/>
    <w:rsid w:val="55BA1450"/>
    <w:rsid w:val="55C0458D"/>
    <w:rsid w:val="55D707A2"/>
    <w:rsid w:val="560501F2"/>
    <w:rsid w:val="5640122A"/>
    <w:rsid w:val="564E7DEA"/>
    <w:rsid w:val="56CB143B"/>
    <w:rsid w:val="570F757A"/>
    <w:rsid w:val="5737087F"/>
    <w:rsid w:val="57566F57"/>
    <w:rsid w:val="57664CC0"/>
    <w:rsid w:val="57BD7499"/>
    <w:rsid w:val="57BE68AA"/>
    <w:rsid w:val="583152CE"/>
    <w:rsid w:val="587C29ED"/>
    <w:rsid w:val="589F66DB"/>
    <w:rsid w:val="58B959EF"/>
    <w:rsid w:val="58CB127E"/>
    <w:rsid w:val="58D75E75"/>
    <w:rsid w:val="58EB1921"/>
    <w:rsid w:val="593B4656"/>
    <w:rsid w:val="59527BF2"/>
    <w:rsid w:val="597162CA"/>
    <w:rsid w:val="59936587"/>
    <w:rsid w:val="59CF2E66"/>
    <w:rsid w:val="5A0507C0"/>
    <w:rsid w:val="5A2275C4"/>
    <w:rsid w:val="5A4F7C8D"/>
    <w:rsid w:val="5AB87F28"/>
    <w:rsid w:val="5AC661A1"/>
    <w:rsid w:val="5AF80325"/>
    <w:rsid w:val="5B1213E7"/>
    <w:rsid w:val="5B127639"/>
    <w:rsid w:val="5B3E6680"/>
    <w:rsid w:val="5B4812AC"/>
    <w:rsid w:val="5B57329D"/>
    <w:rsid w:val="5B6065F6"/>
    <w:rsid w:val="5B61236E"/>
    <w:rsid w:val="5B773940"/>
    <w:rsid w:val="5BA02E96"/>
    <w:rsid w:val="5BB406F0"/>
    <w:rsid w:val="5C513722"/>
    <w:rsid w:val="5C6C0FCA"/>
    <w:rsid w:val="5CD10E2D"/>
    <w:rsid w:val="5CD252D1"/>
    <w:rsid w:val="5D1A6C78"/>
    <w:rsid w:val="5D8506A1"/>
    <w:rsid w:val="5D8D11F8"/>
    <w:rsid w:val="5DB1138B"/>
    <w:rsid w:val="5DB33301"/>
    <w:rsid w:val="5DE30E18"/>
    <w:rsid w:val="5E2356B9"/>
    <w:rsid w:val="5E5E2B95"/>
    <w:rsid w:val="5E79FC0C"/>
    <w:rsid w:val="5E912F6A"/>
    <w:rsid w:val="5E940365"/>
    <w:rsid w:val="5EC7698C"/>
    <w:rsid w:val="5EE4309A"/>
    <w:rsid w:val="5EF25F1B"/>
    <w:rsid w:val="5F4D50E3"/>
    <w:rsid w:val="5F5F6BC4"/>
    <w:rsid w:val="5F7C1524"/>
    <w:rsid w:val="5F84662B"/>
    <w:rsid w:val="5F9E76ED"/>
    <w:rsid w:val="5FF53085"/>
    <w:rsid w:val="605B55DE"/>
    <w:rsid w:val="60C018E5"/>
    <w:rsid w:val="610B7004"/>
    <w:rsid w:val="6122434D"/>
    <w:rsid w:val="61E0223F"/>
    <w:rsid w:val="61E55ABD"/>
    <w:rsid w:val="61F77588"/>
    <w:rsid w:val="62287742"/>
    <w:rsid w:val="62922E0D"/>
    <w:rsid w:val="62BE57EC"/>
    <w:rsid w:val="63141A74"/>
    <w:rsid w:val="639253E3"/>
    <w:rsid w:val="639F1C85"/>
    <w:rsid w:val="63A4104A"/>
    <w:rsid w:val="63E63410"/>
    <w:rsid w:val="64306D81"/>
    <w:rsid w:val="64356146"/>
    <w:rsid w:val="643A0656"/>
    <w:rsid w:val="6472739A"/>
    <w:rsid w:val="64BB2AEF"/>
    <w:rsid w:val="64D25334"/>
    <w:rsid w:val="64D56AE9"/>
    <w:rsid w:val="64EA656E"/>
    <w:rsid w:val="65181CEF"/>
    <w:rsid w:val="653528A1"/>
    <w:rsid w:val="654E74BF"/>
    <w:rsid w:val="658E1FB1"/>
    <w:rsid w:val="659F41BF"/>
    <w:rsid w:val="65D04378"/>
    <w:rsid w:val="663F14FE"/>
    <w:rsid w:val="66636F9A"/>
    <w:rsid w:val="66805D9E"/>
    <w:rsid w:val="66A51361"/>
    <w:rsid w:val="67112E9A"/>
    <w:rsid w:val="67670D0C"/>
    <w:rsid w:val="679C6C08"/>
    <w:rsid w:val="67BC2E06"/>
    <w:rsid w:val="67BF8A43"/>
    <w:rsid w:val="67EB5499"/>
    <w:rsid w:val="681C1AF7"/>
    <w:rsid w:val="683C7AA3"/>
    <w:rsid w:val="687C07E7"/>
    <w:rsid w:val="688B0A2A"/>
    <w:rsid w:val="68993147"/>
    <w:rsid w:val="68C1269E"/>
    <w:rsid w:val="68F44821"/>
    <w:rsid w:val="68F55EA4"/>
    <w:rsid w:val="699456BD"/>
    <w:rsid w:val="69C064B2"/>
    <w:rsid w:val="6A570BC4"/>
    <w:rsid w:val="6A682DD1"/>
    <w:rsid w:val="6AE10DD5"/>
    <w:rsid w:val="6B0A3E88"/>
    <w:rsid w:val="6B5408AA"/>
    <w:rsid w:val="6BB34520"/>
    <w:rsid w:val="6BD2163B"/>
    <w:rsid w:val="6BD46244"/>
    <w:rsid w:val="6C1A459F"/>
    <w:rsid w:val="6C3D203B"/>
    <w:rsid w:val="6C47110C"/>
    <w:rsid w:val="6C6608C4"/>
    <w:rsid w:val="6C81461E"/>
    <w:rsid w:val="6D4D2752"/>
    <w:rsid w:val="6D9143ED"/>
    <w:rsid w:val="6DA07B3F"/>
    <w:rsid w:val="6DB8406F"/>
    <w:rsid w:val="6DC04CD2"/>
    <w:rsid w:val="6DCC3677"/>
    <w:rsid w:val="6DE54739"/>
    <w:rsid w:val="6DEA61F3"/>
    <w:rsid w:val="6E245261"/>
    <w:rsid w:val="6EB74327"/>
    <w:rsid w:val="6EE36ECA"/>
    <w:rsid w:val="6F062BB9"/>
    <w:rsid w:val="6F4B0F13"/>
    <w:rsid w:val="6F8F0E00"/>
    <w:rsid w:val="6F912DCA"/>
    <w:rsid w:val="7004359C"/>
    <w:rsid w:val="70447A9C"/>
    <w:rsid w:val="70891CF3"/>
    <w:rsid w:val="70AE175A"/>
    <w:rsid w:val="70E231B1"/>
    <w:rsid w:val="71245578"/>
    <w:rsid w:val="712A5284"/>
    <w:rsid w:val="7142463B"/>
    <w:rsid w:val="71970440"/>
    <w:rsid w:val="71C823A7"/>
    <w:rsid w:val="71F31237"/>
    <w:rsid w:val="72023B0B"/>
    <w:rsid w:val="724A3704"/>
    <w:rsid w:val="728409C4"/>
    <w:rsid w:val="729606F7"/>
    <w:rsid w:val="72E476B5"/>
    <w:rsid w:val="72EB6860"/>
    <w:rsid w:val="72EC3B81"/>
    <w:rsid w:val="736507F6"/>
    <w:rsid w:val="73832A2A"/>
    <w:rsid w:val="738F426F"/>
    <w:rsid w:val="73B2330F"/>
    <w:rsid w:val="73F6144E"/>
    <w:rsid w:val="745B7503"/>
    <w:rsid w:val="745D771F"/>
    <w:rsid w:val="74BA691F"/>
    <w:rsid w:val="74D80B53"/>
    <w:rsid w:val="74FF4332"/>
    <w:rsid w:val="754601B3"/>
    <w:rsid w:val="756E770A"/>
    <w:rsid w:val="75846F2D"/>
    <w:rsid w:val="759233F8"/>
    <w:rsid w:val="75AB44BA"/>
    <w:rsid w:val="75C57F15"/>
    <w:rsid w:val="75FF635A"/>
    <w:rsid w:val="764010A6"/>
    <w:rsid w:val="764D37C3"/>
    <w:rsid w:val="768D3BBF"/>
    <w:rsid w:val="76960CC6"/>
    <w:rsid w:val="7780237E"/>
    <w:rsid w:val="779C67B0"/>
    <w:rsid w:val="77BC475C"/>
    <w:rsid w:val="77F9150C"/>
    <w:rsid w:val="78000AED"/>
    <w:rsid w:val="78120820"/>
    <w:rsid w:val="786A41B8"/>
    <w:rsid w:val="78746DE5"/>
    <w:rsid w:val="789E20B4"/>
    <w:rsid w:val="78E33F6B"/>
    <w:rsid w:val="790A599B"/>
    <w:rsid w:val="793A002E"/>
    <w:rsid w:val="79554E68"/>
    <w:rsid w:val="79733540"/>
    <w:rsid w:val="79A60F46"/>
    <w:rsid w:val="79CF6ED7"/>
    <w:rsid w:val="7A230AC3"/>
    <w:rsid w:val="7A2800DC"/>
    <w:rsid w:val="7A522889"/>
    <w:rsid w:val="7AEA5A84"/>
    <w:rsid w:val="7AF20495"/>
    <w:rsid w:val="7B09415C"/>
    <w:rsid w:val="7B0C59FB"/>
    <w:rsid w:val="7B3F192C"/>
    <w:rsid w:val="7B7470FC"/>
    <w:rsid w:val="7B784E3E"/>
    <w:rsid w:val="7B892BA7"/>
    <w:rsid w:val="7B915F00"/>
    <w:rsid w:val="7B933A26"/>
    <w:rsid w:val="7BB35E76"/>
    <w:rsid w:val="7BE36A1F"/>
    <w:rsid w:val="7BEC1388"/>
    <w:rsid w:val="7C014E34"/>
    <w:rsid w:val="7C1A4147"/>
    <w:rsid w:val="7C26489A"/>
    <w:rsid w:val="7C374CF9"/>
    <w:rsid w:val="7C870D8D"/>
    <w:rsid w:val="7CBB76D8"/>
    <w:rsid w:val="7CC61BD9"/>
    <w:rsid w:val="7CCF4F32"/>
    <w:rsid w:val="7CF16C56"/>
    <w:rsid w:val="7CF44998"/>
    <w:rsid w:val="7D00333D"/>
    <w:rsid w:val="7D2863F0"/>
    <w:rsid w:val="7DA63EE4"/>
    <w:rsid w:val="7DB3215D"/>
    <w:rsid w:val="7DD6409E"/>
    <w:rsid w:val="7E081E91"/>
    <w:rsid w:val="7E2B263C"/>
    <w:rsid w:val="7E3037AE"/>
    <w:rsid w:val="7EA06B86"/>
    <w:rsid w:val="7EFB3DBC"/>
    <w:rsid w:val="7F016EF9"/>
    <w:rsid w:val="7F3648B6"/>
    <w:rsid w:val="7F7973D7"/>
    <w:rsid w:val="7F7E49ED"/>
    <w:rsid w:val="7FB328E9"/>
    <w:rsid w:val="7FBFB601"/>
    <w:rsid w:val="7FD12D6F"/>
    <w:rsid w:val="7FEE3921"/>
    <w:rsid w:val="BDBF7043"/>
    <w:rsid w:val="DDFF9F33"/>
    <w:rsid w:val="DFFF7CF5"/>
    <w:rsid w:val="E77F992F"/>
    <w:rsid w:val="E9FF8D96"/>
    <w:rsid w:val="FB6F1F6F"/>
    <w:rsid w:val="FCFF551F"/>
    <w:rsid w:val="FEE746CD"/>
    <w:rsid w:val="FEFD037F"/>
    <w:rsid w:val="FEFF3258"/>
    <w:rsid w:val="FFBE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Date"/>
    <w:basedOn w:val="1"/>
    <w:next w:val="1"/>
    <w:link w:val="17"/>
    <w:qFormat/>
    <w:uiPriority w:val="0"/>
    <w:pPr>
      <w:ind w:left="100" w:leftChars="25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页脚 字符"/>
    <w:basedOn w:val="11"/>
    <w:link w:val="5"/>
    <w:qFormat/>
    <w:uiPriority w:val="99"/>
    <w:rPr>
      <w:rFonts w:asciiTheme="minorHAnsi" w:hAnsiTheme="minorHAnsi" w:eastAsiaTheme="minorEastAsia" w:cstheme="minorBidi"/>
      <w:kern w:val="2"/>
      <w:sz w:val="18"/>
      <w:szCs w:val="24"/>
    </w:rPr>
  </w:style>
  <w:style w:type="paragraph" w:customStyle="1" w:styleId="15">
    <w:name w:val="标准文件_章标题"/>
    <w:next w:val="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日期 字符"/>
    <w:basedOn w:val="11"/>
    <w:link w:val="4"/>
    <w:qFormat/>
    <w:uiPriority w:val="0"/>
    <w:rPr>
      <w:rFonts w:asciiTheme="minorHAnsi" w:hAnsiTheme="minorHAnsi" w:eastAsiaTheme="minorEastAsia" w:cstheme="minorBidi"/>
      <w:kern w:val="2"/>
      <w:sz w:val="21"/>
      <w:szCs w:val="24"/>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4494</Words>
  <Characters>4800</Characters>
  <Lines>40</Lines>
  <Paragraphs>11</Paragraphs>
  <TotalTime>0</TotalTime>
  <ScaleCrop>false</ScaleCrop>
  <LinksUpToDate>false</LinksUpToDate>
  <CharactersWithSpaces>4915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2025-09-09T15:38:00Z</dcterms:created>
  <dc:creator>Administrator</dc:creator>
  <cp:lastModifiedBy>xjx</cp:lastModifiedBy>
  <cp:lastPrinted>2025-09-17T12:10:00Z</cp:lastPrinted>
  <dcterms:modified xsi:type="dcterms:W3CDTF">2025-09-29T17:02:21Z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80C4C65D81B377C720B97068C7610B0F_41</vt:lpwstr>
  </property>
  <property fmtid="{D5CDD505-2E9C-101B-9397-08002B2CF9AE}" pid="4" name="KSOTemplateDocerSaveRecord">
    <vt:lpwstr>eyJoZGlkIjoiZjdjMzY1ZTZlMDZmMTZlNjZmZDk4ZWRiYmM1NGNjZGMiLCJ1c2VySWQiOiIyMzg2OTA5NzYifQ==</vt:lpwstr>
  </property>
</Properties>
</file>