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DA9CC"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60" w:lineRule="exact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</w:p>
    <w:p w14:paraId="7CDB63A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 xml:space="preserve"> </w:t>
      </w:r>
    </w:p>
    <w:p w14:paraId="4C13F23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深圳市化工医药及危险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化学品安全生产标准化三级达标企业名单（2024年第11批次）</w:t>
      </w:r>
    </w:p>
    <w:p w14:paraId="0AC7047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3832"/>
        <w:gridCol w:w="1313"/>
        <w:gridCol w:w="1560"/>
        <w:gridCol w:w="1080"/>
      </w:tblGrid>
      <w:tr w14:paraId="3C31C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EF9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223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931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企业类别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226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所属区域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20F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7FC0D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AE8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一</w:t>
            </w:r>
          </w:p>
        </w:tc>
        <w:tc>
          <w:tcPr>
            <w:tcW w:w="7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DF9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Calibri" w:eastAsia="仿宋_GB2312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化工行业安全生产标准化三级达标企业</w:t>
            </w:r>
          </w:p>
        </w:tc>
      </w:tr>
      <w:tr w14:paraId="70A26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B04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22E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深圳市林大精细化工开发有限公司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225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CFB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龙岗区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043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</w:rPr>
            </w:pPr>
          </w:p>
        </w:tc>
      </w:tr>
      <w:tr w14:paraId="46F4E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584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C6C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深圳市旭日天祥科技有限公司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DF4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C14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光明区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707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</w:rPr>
            </w:pPr>
          </w:p>
        </w:tc>
      </w:tr>
    </w:tbl>
    <w:p w14:paraId="2112432A"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55E4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adjustRightInd w:val="0"/>
      <w:snapToGrid w:val="0"/>
      <w:spacing w:line="560" w:lineRule="exact"/>
      <w:ind w:firstLine="862" w:firstLineChars="20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2024-11-25T03:27:38Z</dcterms:created>
  <dc:creator>东冬</dc:creator>
  <cp:lastModifiedBy>DonnyChiang</cp:lastModifiedBy>
  <dcterms:modified xsi:type="dcterms:W3CDTF">2024-11-25T03:28:14Z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C93A21FE6C3D4DB8A9FFBC466E1885D5_12</vt:lpwstr>
  </property>
</Properties>
</file>