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beforeLines="0" w:afterLines="0" w:line="560" w:lineRule="exact"/>
        <w:jc w:val="left"/>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附件5</w:t>
      </w:r>
    </w:p>
    <w:p>
      <w:pPr>
        <w:pStyle w:val="4"/>
        <w:spacing w:beforeLines="0" w:afterLines="0" w:line="560" w:lineRule="exact"/>
        <w:rPr>
          <w:rFonts w:hint="eastAsia"/>
          <w:color w:val="00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应急管理行政执法人员依法履职管理规定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中华人民共和国应急管理部令第</w:t>
      </w:r>
      <w:r>
        <w:rPr>
          <w:rFonts w:hint="eastAsia" w:ascii="仿宋_GB2312" w:hAnsi="仿宋_GB2312" w:eastAsia="仿宋_GB2312" w:cs="仿宋_GB2312"/>
          <w:b w:val="0"/>
          <w:i w:val="0"/>
          <w:caps w:val="0"/>
          <w:color w:val="000000"/>
          <w:spacing w:val="0"/>
          <w:sz w:val="32"/>
          <w:szCs w:val="32"/>
          <w:shd w:val="clear" w:color="auto" w:fill="FFFFFF"/>
          <w:lang w:val="en-US" w:eastAsia="zh-CN"/>
        </w:rPr>
        <w:t>9</w:t>
      </w:r>
      <w:r>
        <w:rPr>
          <w:rFonts w:hint="eastAsia" w:ascii="仿宋_GB2312" w:hAnsi="仿宋_GB2312" w:eastAsia="仿宋_GB2312" w:cs="仿宋_GB2312"/>
          <w:b w:val="0"/>
          <w:i w:val="0"/>
          <w:caps w:val="0"/>
          <w:color w:val="000000"/>
          <w:spacing w:val="0"/>
          <w:sz w:val="32"/>
          <w:szCs w:val="32"/>
          <w:shd w:val="clear" w:color="auto" w:fill="FFFFFF"/>
        </w:rPr>
        <w:t>号</w:t>
      </w:r>
      <w:r>
        <w:rPr>
          <w:rFonts w:hint="eastAsia" w:ascii="仿宋_GB2312" w:hAnsi="仿宋_GB2312" w:eastAsia="仿宋_GB2312" w:cs="仿宋_GB2312"/>
          <w:b w:val="0"/>
          <w:i w:val="0"/>
          <w:caps w:val="0"/>
          <w:color w:val="000000"/>
          <w:spacing w:val="0"/>
          <w:sz w:val="32"/>
          <w:szCs w:val="32"/>
          <w:shd w:val="clear" w:color="auto" w:fill="FFFFFF"/>
          <w:lang w:eastAsia="zh-CN"/>
        </w:rPr>
        <w:t>）</w:t>
      </w:r>
    </w:p>
    <w:p>
      <w:pPr>
        <w:spacing w:beforeLines="0" w:afterLines="0" w:line="560" w:lineRule="exact"/>
        <w:rPr>
          <w:rFonts w:hint="eastAsia"/>
          <w:color w:val="00000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第一条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为了全面贯彻落实行政执法责任制和问责制，监督和保障应急管理行政执法人员依法履职尽责，激励新时代新担当新作为，根据《中华人民共和国公务员法》《中华人民共和国安全生产法》等法律法规和有关文件规定，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第二条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各级应急管理部门监督和保障应急管理行政执法人员依法履职尽责，适用本规定。法律、行政法规或者国务院另有规定的，从其规定。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本规定所称应急管理行政执法人员，是指应急管理部门履行行政检查、行政强制、行政处罚、行政许可等行政执法职责的人员。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系统矿山安全监察机构、地震工作机构、消防救援机构监督和保障有关行政执法人员依法履职尽责，按照本规定的相关规定执行。根据依法授权或者委托履行应急管理行政执法职责的乡镇政府、街道办事处以及开发区等组织，监督和保障有关行政执法人员依法履职尽责的，可以参照本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第三条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监督和保障应急管理行政执法人员依法履职尽责，应当坚持中国共产党的领导，遵循职权法定、权责一致、过罚相当、约束与激励并重、惩戒与教育相结合的原则，做到尽职免责、失职问责。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第四条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应当按照本级人民政府的安排，梳理本部门行政执法依据，编制权责清单，将本部门依法承担的行政执法职责分解落实到所属执法机构和执法岗位。分解落实所属执法机构、执法岗位的执法职责，不得擅自增加或者减少本部门的行政执法权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制定安全生产年度监督检查计划，按照计划组织开展监督检查。同时，应急管理部门应当按照部署组织开展有关专项治理，依法组织查处违法行为和举报的事故隐患。应急管理部门应当统筹开展前述执法活动，确保对辖区内安全监管重点企业按照明确的时间周期固定开展“全覆盖”执法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应急管理部门应当对照权责清单，对行政许可和其他直接影响行政相对人权利义务的重要权责事项，制定办事指南和运行流程图，并以适当形式向社会公众公开。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第五条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根据本部门的安排或者当事人的申请，在法定权限范围内依照法定程序履行行政检查、行政强制、行政处罚、行政许可等行政执法职责，做到严格规范公正文明执法，不得玩忽职守、超越职权、滥用职权、徇私舞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第六条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应急管理行政执法人员因故意或者重大过失，未履行、不当履行或者违法履行有关行政执法职责，造成危害后果或者不良影响的，应当依法承担行政执法责任。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第七条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应急管理行政执法人员在履职过程中，有下列情形之一的，应当依法追究有关行政执法人员的行政执法责任：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（一）对符合行政处罚立案标准的案件不立案或者不及时立案的；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（二）对符合法定条件的行政许可申请不予受理的，或者未依照法定条件作出准予或者不予行政许可决定的；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（三）对监督检查中已经发现的违法行为和事故隐患，未依法予以处罚或者未依法采取处理措施的；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（四）涂改、隐匿、伪造、偷换、故意损毁有关记录或者证据，妨碍作证，或者指使、支持、授意他人做伪证，或者以欺骗、利诱等方式调取证据的；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违法扩大查封、扣押范围，在查封、扣押法定期间不作出处理决定或者未依法及时解除查封、扣押，对查封、扣押场所、设施或者财物未尽到妥善保管义务，或者违法使用、损毁查封、扣押场所、设施或者财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（六）违法实行检查措施或者强制措施，给公民人身或者财产造成损害、给法人或者其他组织造成损失的；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（七）选择性执法或者滥用自由裁量权，行政执法行为明显不当或者行政执法结果明显不公正的；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（八）擅自改变行政处罚种类、幅度，或者擅自改变行政强制对象、条件、方式的；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（九）行政执法过程中违反行政执法公示、执法全过程记录、重大执法决定法制审核制度的；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（十）违法增设行政相对人义务，或者粗暴、野蛮执法或者故意刁难行政相对人的；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（十一）截留、私分、变相私分罚款、没收的违法所得或者财物、查封或者扣押的财物以及拍卖和依法处理所得款项的；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（十二）对应当依法移送司法机关追究刑事责任的案件不移送，以行政处罚代替刑事处罚的；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（十三）无正当理由超期作出行政执法决定，不履行或者无正当理由拖延履行行政复议决定、人民法院生效裁判的；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（十四）接到事故报告信息不及时处置，或者弄虚作假、隐瞒真相、通风报信，干扰、阻碍事故调查处理的；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（十五）对属于本部门职权范围的投诉举报不依法处理的；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（十六）无法定依据、超越法定职权、违反法定程序行使行政执法职权的；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（十七）泄露国家秘密、工作秘密，或者泄露因履行职责掌握的商业秘密、个人隐私的；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（十八）法律、法规、规章规定的其他应当追究行政执法责任的情形。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第八条 应急管理行政执法人员在履职过程中，有下列情形之一的，应当从重追究其行政执法责任：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（一）干扰、妨碍、抗拒对其追究行政执法责任的；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（二）打击报复申诉人、控告人、检举人或者行政执法责任追究案件承办人员的；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（三）一年内出现2次以上应当追究行政执法责任情形的；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（四）违法或者不当执法行为造成重大经济损失或者严重社会影响的；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（五）法律、法规、规章规定的其他应当从重追究行政执法责任的情形。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第九条 应急管理行政执法人员在履职过程中，有下列情形之一的，可以从轻、减轻追究其行政执法责任：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（一）能够主动、及时报告过错行为并采取补救措施，有效避免损失、阻止危害后果发生或者挽回、消除不良影响的；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（二）在调查核实过程中，能够配合调查核实工作，如实说明本人行政执法过错情况的；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（三）检举同案人或者其他人应当追究行政执法责任的问题，或者有其他立功表现，经查证属实的；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（四）主动上交或者退赔违法所得的；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（五）法律、法规、规章规定的其他可以从轻、减轻追究行政执法责任的情形。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第十条 有下列情形之一的，不予追究有关行政执法人员的行政执法责任：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（一）因行政执法依据不明确或者对有关事实和依据的理解认识不一致，致使行政执法行为出现偏差的，但故意违法的除外；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（二）因行政相对人隐瞒有关情况或者提供虚假材料导致作出错误行政执法决定，且已按照规定认真履行审查职责的；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（三）依据检验、检测、鉴定、评价报告或者专家评审意见等作出行政执法决定，且已按照规定认真履行审查职责的；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（四）行政相对人未依法申请行政许可或者登记备案，在其违法行为造成不良影响前，应急管理部门未接到投诉举报或者由于客观原因未能发现的，但未按照规定履行监督检查职责的除外；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（五）按照批准、备案的安全生产年度监督检查计划以及有关专项执法工作方案等检查计划已经认真履行监督检查职责，或者虽尚未进行监督检查，但未超过法定或者规定时限，行政相对人违法的；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（六）因出现新的证据致使原认定事实、案件性质发生变化，或者因标准缺失、科学技术、监管手段等客观条件的限制未能发现存在问题、无法定性的，但行政执法人员故意隐瞒或者因重大过失遗漏证据的除外；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七）对发现的违法行为或者事故隐患已经依法立案查处、责令改正、采取行政强制措施等必要的处置措施，或者已依法作出行政处罚决定，行政相对人拒不改正、违法启用查封扣押的设备设施或者仍违法生产经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（八）对拒不执行行政处罚决定的行政相对人，已经依法申请人民法院强制执行的；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（九）因不可抗力或者其他难以克服的因素，导致未能依法履行职责的；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（十）不当执法行为情节显著轻微并及时纠正，未造成危害后果或者不良影响的；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（十一）法律、法规、规章规定的其他不予追究行政执法责任的情形。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第十一条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在推进应急管理行政执法改革创新中因缺乏经验、先行先试出现的失误，尚无明确限制的探索性试验中的失误，为推动发展的无意过失，免予或者不予追究行政执法责任。但是，应当及时依法予以纠正。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第十二条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应急管理部门对发现的行政执法过错行为线索，依照《行政机关公务员处分条例》等规定的程序予以调查和处理。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第十三条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追究应急管理行政执法人员行政执法责任，应当充分听取当事执法人员的意见，全面收集相关证据材料，以法律、法规、规章等规定为依据，综合考虑行政执法过错行为的性质、情节、危害程度以及执法人员的主观过错等因素，做到事实清楚、证据确凿、定性准确、处理恰当、程序合法、手续完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行政执法过错行为情节轻微、危害较小，且具有法定从轻或者减轻情形的，根据不同情况，可以予以谈话提醒、批评教育、责令检查、诫勉、取消当年评优评先资格、调离执法岗位等处理，免予或者不予处分。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第十四条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应急管理部门发现有关行政执法人员涉嫌违反党纪或者涉嫌职务违法、职务犯罪的，应当依照有关规定及时移送纪检监察机关处理。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纪检监察机关和其他有权单位介入调查的，应急管理部门可以按照要求对有关行政执法人员是否依法履职、是否存在行政执法过错行为等问题，组织相关专业人员进行论证并出具书面论证意见，作为有权机关、单位认定责任的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对同一行政执法过错行为，纪检监察机关已经给予党纪、政务处分的，应急管理部门不再重复处理。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第十五条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应急管理行政执法人员依法履行职责受法律保护。有权拒绝任何单位和个人违反法定职责、法定程序或者有碍执法公正的要求。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对地方各级党委、政府以及有关部门、单位领导干部及相关人员非法干预应急管理行政执法活动的，应急管理行政执法人员应当全面、如实记录，其所在应急管理部门应当及时向有关机关通报反映情况。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第十六条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行政执法人员因依法履行职责遭受不实举报、诬告陷害以及侮辱诽谤，致使名誉受到损害的，其所在的应急管理部门应当以适当方式及时澄清事实，消除不良影响，维护应急管理行政执法人员声誉，并依法追究相关单位或者个人的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应急管理行政执法人员因依法履行职责，本人或者其近亲属遭受恐吓威胁、滋事骚扰、攻击辱骂或者人身、财产受到侵害的，其所在的应急管理部门应当及时告知当地公安机关并协助依法处置。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第十七条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各级应急管理部门应当为应急管理行政执法人员依法履行职责提供必要的办公用房、执法装备、后勤保障等条件，并采取措施保障其人身健康和生命安全。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第十八条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各级应急管理部门应当加强对应急管理行政执法人员的专业培训，建立标准化制度化培训机制，提升应急管理行政执法人员依法履职能力。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应急管理部门应当适应综合行政执法体制改革需要，组织开展应急管理领域综合行政执法人才能力提升行动，培养应急管理行政执法骨干人才。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第十九条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应急管理部门应当建立健全评议考核制度，遵循公开、公平、公正原则，将应急管理行政执法人员依法履职尽责情况纳入行政执法评议考核范围，有关考核标准、过程和结果以适当方式在一定范围内公开。强化考核结果分析运用，并将其作为干部选拔任用、评优评先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xml:space="preserve">第二十条 </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对坚持原则、敢抓敢管、勇于探索、担当作为，在防范化解重大安全风险、应急抢险救援等方面或者在行政执法改革创新中作出突出贡献的应急管理行政执法人员，应当按照规定给予表彰奖励。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第二十一条</w:t>
      </w:r>
      <w:r>
        <w:rPr>
          <w:rFonts w:hint="default" w:ascii="仿宋_GB2312" w:hAnsi="仿宋_GB2312" w:cs="仿宋_GB2312"/>
          <w:i w:val="0"/>
          <w:caps w:val="0"/>
          <w:color w:val="000000"/>
          <w:spacing w:val="0"/>
          <w:sz w:val="32"/>
          <w:szCs w:val="32"/>
          <w:shd w:val="clear" w:color="auto" w:fill="FFFFFF"/>
          <w:lang w:val="en-US"/>
        </w:rPr>
        <w:t xml:space="preserve"> </w:t>
      </w:r>
      <w:r>
        <w:rPr>
          <w:rFonts w:hint="eastAsia" w:ascii="仿宋_GB2312" w:hAnsi="仿宋_GB2312" w:eastAsia="仿宋_GB2312" w:cs="仿宋_GB2312"/>
          <w:i w:val="0"/>
          <w:caps w:val="0"/>
          <w:color w:val="000000"/>
          <w:spacing w:val="0"/>
          <w:sz w:val="32"/>
          <w:szCs w:val="32"/>
          <w:shd w:val="clear" w:color="auto" w:fill="FFFFFF"/>
        </w:rPr>
        <w:t xml:space="preserve"> 本规定自2022年12月1日起施行。原国家安全生产监督管理总局2009年7月25日公布、2013年8月29日第一次修正、2015年4月2日第二次修正的《安全生产监管监察职责和行政执法责任追究的规定》同时废止。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13C5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宋体"/>
      <w:kern w:val="2"/>
      <w:sz w:val="32"/>
      <w:szCs w:val="32"/>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4">
    <w:name w:val="Normal Indent"/>
    <w:basedOn w:val="1"/>
    <w:next w:val="1"/>
    <w:qFormat/>
    <w:uiPriority w:val="0"/>
    <w:pPr>
      <w:ind w:firstLine="420"/>
    </w:pPr>
    <w:rPr>
      <w:rFonts w:cs="Times New Roman"/>
      <w:szCs w:val="24"/>
    </w:rPr>
  </w:style>
  <w:style w:type="paragraph" w:styleId="5">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2024-03-06T08:04:53Z</dcterms:created>
  <dc:creator>东冬</dc:creator>
  <cp:lastModifiedBy>DonnyChiang</cp:lastModifiedBy>
  <dcterms:modified xsi:type="dcterms:W3CDTF">2024-03-06T08:05:17Z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3A9CF17FBA2F48299B2B9869B3C00E75_12</vt:lpwstr>
  </property>
</Properties>
</file>