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第二届深圳市应急管理数据创新大赛</w:t>
      </w:r>
      <w:r>
        <w:rPr>
          <w:rFonts w:hint="eastAsia" w:ascii="方正小标宋简体" w:hAnsi="Calibri" w:eastAsia="方正小标宋简体" w:cs="Times New Roman"/>
          <w:sz w:val="44"/>
          <w:szCs w:val="44"/>
          <w:highlight w:val="none"/>
          <w:lang w:val="en-US" w:eastAsia="zh-CN"/>
        </w:rPr>
        <w:t>方案</w:t>
      </w:r>
    </w:p>
    <w:p>
      <w:pPr>
        <w:pStyle w:val="2"/>
        <w:spacing w:after="0" w:line="56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kern w:val="0"/>
          <w:sz w:val="32"/>
          <w:szCs w:val="32"/>
          <w:lang w:val="en-US"/>
        </w:rPr>
        <w:t>为全面贯彻党的二十大精神，深入落实</w:t>
      </w:r>
      <w:r>
        <w:rPr>
          <w:rFonts w:hint="default" w:ascii="仿宋_GB2312" w:eastAsia="仿宋_GB2312"/>
          <w:kern w:val="0"/>
          <w:sz w:val="32"/>
          <w:szCs w:val="32"/>
        </w:rPr>
        <w:t>中央</w:t>
      </w:r>
      <w:r>
        <w:rPr>
          <w:rFonts w:hint="default" w:ascii="仿宋_GB2312" w:eastAsia="仿宋_GB2312"/>
          <w:kern w:val="0"/>
          <w:sz w:val="32"/>
          <w:szCs w:val="32"/>
          <w:lang w:val="en-US"/>
        </w:rPr>
        <w:t>和省、市关于防范化解重大安全风险的工作部署，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加快推进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城市安全风险综合监测预警工作体系试点建设，切实推动智慧应急和城市生命线工程安全建设工作，加强城市安全领域数据的融合应用与创新，促进数据应用成果转化、释放数据价值，特制定本工作方案。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pacing w:val="5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5"/>
          <w:kern w:val="0"/>
          <w:sz w:val="32"/>
          <w:szCs w:val="32"/>
          <w:highlight w:val="none"/>
          <w:lang w:val="en-US" w:eastAsia="zh-CN" w:bidi="zh-CN"/>
        </w:rPr>
        <w:t>一、大赛背景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为持续推进深圳市“1+11+N”应急管理监测预警指挥体系建设，切实推动公共安全治理模式向事前预防转型，进一步实现城市安全风险综合监测预警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试点建设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“能监测、会预警、快处置”三大功能，提升应急管理科技信息化能力和水平，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由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深圳市应急管理局</w:t>
      </w:r>
      <w:r>
        <w:rPr>
          <w:rFonts w:hint="default" w:ascii="仿宋_GB2312" w:hAnsi="Calibri" w:eastAsia="仿宋_GB2312" w:cs="Times New Roman"/>
          <w:sz w:val="32"/>
          <w:szCs w:val="32"/>
          <w:highlight w:val="none"/>
          <w:lang w:eastAsia="zh-CN"/>
        </w:rPr>
        <w:t>（市应急委办、市安委办</w:t>
      </w:r>
      <w:r>
        <w:rPr>
          <w:rFonts w:hint="default" w:ascii="仿宋_GB2312" w:eastAsia="仿宋_GB2312" w:cs="Times New Roman"/>
          <w:sz w:val="32"/>
          <w:szCs w:val="32"/>
          <w:highlight w:val="none"/>
          <w:lang w:eastAsia="zh-CN"/>
        </w:rPr>
        <w:t>、市减灾委办</w:t>
      </w:r>
      <w:r>
        <w:rPr>
          <w:rFonts w:hint="default" w:ascii="仿宋_GB2312" w:hAnsi="Calibri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主办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，深圳市城市公共安全技术研究院</w:t>
      </w:r>
      <w:r>
        <w:rPr>
          <w:rFonts w:hint="default" w:ascii="仿宋_GB2312" w:hAnsi="Calibri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深圳防灾减灾技术研究院</w:t>
      </w:r>
      <w:r>
        <w:rPr>
          <w:rFonts w:hint="default" w:ascii="仿宋_GB2312" w:hAnsi="Calibri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深圳市城市公共安全技术联合创新中心共同承办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第二届深圳市应急管理数据创新大赛。通过大赛，促进知识、技术、资本和服务等要素对接，助力城市生命线产业生态的形成与发展，为应急管理、安全应急产业的发展贡献更多深圳经验、深圳模式。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pacing w:val="5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5"/>
          <w:kern w:val="0"/>
          <w:sz w:val="32"/>
          <w:szCs w:val="32"/>
          <w:highlight w:val="none"/>
          <w:lang w:val="en-US" w:eastAsia="zh-CN" w:bidi="zh-CN"/>
        </w:rPr>
        <w:t>二、组织机构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Calibri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深圳市应急管理局</w:t>
      </w:r>
      <w:r>
        <w:rPr>
          <w:rFonts w:hint="default" w:ascii="仿宋_GB2312" w:hAnsi="Calibri" w:eastAsia="仿宋_GB2312" w:cs="Times New Roman"/>
          <w:sz w:val="32"/>
          <w:szCs w:val="32"/>
          <w:highlight w:val="none"/>
          <w:lang w:eastAsia="zh-CN"/>
        </w:rPr>
        <w:t>（市应急委办、市安委办</w:t>
      </w:r>
      <w:r>
        <w:rPr>
          <w:rFonts w:hint="default" w:ascii="仿宋_GB2312" w:eastAsia="仿宋_GB2312" w:cs="Times New Roman"/>
          <w:sz w:val="32"/>
          <w:szCs w:val="32"/>
          <w:highlight w:val="none"/>
          <w:lang w:eastAsia="zh-CN"/>
        </w:rPr>
        <w:t>、市减灾委办</w:t>
      </w:r>
      <w:r>
        <w:rPr>
          <w:rFonts w:hint="default" w:ascii="仿宋_GB2312" w:hAnsi="Calibri" w:eastAsia="仿宋_GB2312" w:cs="Times New Roman"/>
          <w:sz w:val="32"/>
          <w:szCs w:val="32"/>
          <w:highlight w:val="none"/>
          <w:lang w:eastAsia="zh-CN"/>
        </w:rPr>
        <w:t>）</w:t>
      </w:r>
    </w:p>
    <w:p>
      <w:pPr>
        <w:adjustRightInd/>
        <w:snapToGrid/>
        <w:spacing w:line="560" w:lineRule="exact"/>
        <w:ind w:firstLine="642"/>
        <w:rPr>
          <w:rFonts w:hint="eastAsia" w:ascii="仿宋_GB2312" w:cs="Times New Roman"/>
          <w:b/>
          <w:bCs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b/>
          <w:bCs/>
          <w:szCs w:val="32"/>
          <w:highlight w:val="none"/>
          <w:lang w:val="en-US" w:eastAsia="zh-CN"/>
        </w:rPr>
        <w:t>指导单位</w:t>
      </w:r>
    </w:p>
    <w:p>
      <w:pPr>
        <w:spacing w:line="560" w:lineRule="exact"/>
        <w:ind w:firstLine="632" w:firstLineChars="200"/>
        <w:rPr>
          <w:rFonts w:hint="eastAsia" w:ascii="仿宋_GB2312" w:cs="Times New Roman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zCs w:val="32"/>
          <w:highlight w:val="none"/>
          <w:lang w:val="en-US" w:eastAsia="zh-CN"/>
        </w:rPr>
        <w:t>深圳市政务服务数据管理局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highlight w:val="none"/>
          <w:lang w:val="en-US" w:eastAsia="zh-CN"/>
        </w:rPr>
        <w:t>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深圳市城市公共安全技术联合创新中心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深圳市城市公共安全技术研究院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深圳防灾减灾技术研究院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highlight w:val="none"/>
          <w:lang w:val="en-US" w:eastAsia="zh-CN"/>
        </w:rPr>
        <w:t>协办单位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Calibri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各相关</w:t>
      </w:r>
      <w:r>
        <w:rPr>
          <w:rFonts w:hint="default" w:ascii="仿宋_GB2312" w:hAnsi="Calibri" w:eastAsia="仿宋_GB2312" w:cs="Times New Roman"/>
          <w:sz w:val="32"/>
          <w:szCs w:val="32"/>
          <w:highlight w:val="none"/>
          <w:lang w:eastAsia="zh-CN"/>
        </w:rPr>
        <w:t>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pacing w:val="5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5"/>
          <w:kern w:val="0"/>
          <w:sz w:val="32"/>
          <w:szCs w:val="32"/>
          <w:highlight w:val="none"/>
          <w:lang w:val="en-US" w:eastAsia="zh-CN" w:bidi="zh-CN"/>
        </w:rPr>
        <w:t>三、大赛方案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（一）主题和赛道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u w:val="none"/>
          <w:lang w:val="en-US" w:eastAsia="zh-CN"/>
        </w:rPr>
        <w:t>本届大赛本着“业务引领、科技支撑、团队保障、开门创新</w:t>
      </w:r>
      <w:r>
        <w:rPr>
          <w:rFonts w:hint="default" w:ascii="仿宋_GB2312" w:hAnsi="Calibri" w:eastAsia="仿宋_GB2312" w:cs="Times New Roman"/>
          <w:sz w:val="32"/>
          <w:szCs w:val="32"/>
          <w:u w:val="none"/>
          <w:lang w:val="en-US" w:eastAsia="zh-CN"/>
        </w:rPr>
        <w:t>、深化应用</w:t>
      </w:r>
      <w:r>
        <w:rPr>
          <w:rFonts w:hint="eastAsia" w:ascii="仿宋_GB2312" w:hAnsi="Calibri" w:eastAsia="仿宋_GB2312" w:cs="Times New Roman"/>
          <w:sz w:val="32"/>
          <w:szCs w:val="32"/>
          <w:u w:val="none"/>
          <w:lang w:val="en-US" w:eastAsia="zh-CN"/>
        </w:rPr>
        <w:t>”的理念，</w:t>
      </w:r>
      <w:r>
        <w:rPr>
          <w:rFonts w:hint="default" w:ascii="仿宋_GB2312" w:hAnsi="Calibri" w:eastAsia="仿宋_GB2312" w:cs="Times New Roman"/>
          <w:sz w:val="32"/>
          <w:szCs w:val="32"/>
          <w:u w:val="none"/>
          <w:lang w:eastAsia="zh-CN"/>
        </w:rPr>
        <w:t>充分运用和挖掘我市应急管理大数据库和安全防范、监管执法、监测预警、联合指挥平台建设成果，</w:t>
      </w:r>
      <w:r>
        <w:rPr>
          <w:rFonts w:hint="eastAsia" w:ascii="仿宋_GB2312" w:hAnsi="Calibri" w:eastAsia="仿宋_GB2312" w:cs="Times New Roman"/>
          <w:sz w:val="32"/>
          <w:szCs w:val="32"/>
          <w:u w:val="none"/>
          <w:lang w:val="en-US" w:eastAsia="zh-CN"/>
        </w:rPr>
        <w:t>聚焦</w:t>
      </w:r>
      <w:r>
        <w:rPr>
          <w:rFonts w:hint="default" w:ascii="仿宋_GB2312" w:hAnsi="Calibri" w:eastAsia="仿宋_GB2312" w:cs="Times New Roman"/>
          <w:sz w:val="32"/>
          <w:szCs w:val="32"/>
          <w:u w:val="none"/>
          <w:lang w:eastAsia="zh-CN"/>
        </w:rPr>
        <w:t>城市安全风险监测预警和应急处置需求，紧扣</w:t>
      </w:r>
      <w:r>
        <w:rPr>
          <w:rFonts w:hint="eastAsia" w:ascii="仿宋_GB2312" w:hAnsi="Calibri" w:eastAsia="仿宋_GB2312" w:cs="Times New Roman"/>
          <w:sz w:val="32"/>
          <w:szCs w:val="32"/>
          <w:u w:val="none"/>
          <w:lang w:val="en-US" w:eastAsia="zh-CN"/>
        </w:rPr>
        <w:t>《深圳市城市生命线工程安全建设工作方案》45项工作任务（</w:t>
      </w:r>
      <w:r>
        <w:rPr>
          <w:rFonts w:hint="eastAsia" w:ascii="仿宋_GB2312" w:hAnsi="Calibri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http://www.sz.gov.cn/zfgb/2022/gb1246/content/post_9898955.html</w:t>
      </w:r>
      <w:r>
        <w:rPr>
          <w:rFonts w:hint="eastAsia" w:ascii="仿宋_GB2312" w:hAnsi="Calibri" w:eastAsia="仿宋_GB2312" w:cs="Times New Roman"/>
          <w:sz w:val="32"/>
          <w:szCs w:val="32"/>
          <w:u w:val="none"/>
          <w:lang w:val="en-US" w:eastAsia="zh-CN"/>
        </w:rPr>
        <w:t>），以切实解决业务痛点、难点问题为目标，广泛邀请</w:t>
      </w:r>
      <w:r>
        <w:rPr>
          <w:rFonts w:hint="default" w:ascii="仿宋_GB2312" w:hAnsi="Calibri" w:eastAsia="仿宋_GB2312" w:cs="Times New Roman"/>
          <w:sz w:val="32"/>
          <w:szCs w:val="32"/>
          <w:u w:val="none"/>
          <w:lang w:eastAsia="zh-CN"/>
        </w:rPr>
        <w:t>市</w:t>
      </w:r>
      <w:r>
        <w:rPr>
          <w:rFonts w:hint="eastAsia" w:ascii="仿宋_GB2312" w:hAnsi="Calibri" w:eastAsia="仿宋_GB2312" w:cs="Times New Roman"/>
          <w:sz w:val="32"/>
          <w:szCs w:val="32"/>
          <w:u w:val="none"/>
          <w:lang w:val="en-US" w:eastAsia="zh-CN"/>
        </w:rPr>
        <w:t>应急委、安委会</w:t>
      </w:r>
      <w:r>
        <w:rPr>
          <w:rFonts w:hint="default" w:ascii="仿宋_GB2312" w:eastAsia="仿宋_GB2312" w:cs="Times New Roman"/>
          <w:sz w:val="32"/>
          <w:szCs w:val="32"/>
          <w:u w:val="none"/>
          <w:lang w:eastAsia="zh-CN"/>
        </w:rPr>
        <w:t>、减灾委各</w:t>
      </w:r>
      <w:r>
        <w:rPr>
          <w:rFonts w:hint="eastAsia" w:ascii="仿宋_GB2312" w:hAnsi="Calibri" w:eastAsia="仿宋_GB2312" w:cs="Times New Roman"/>
          <w:sz w:val="32"/>
          <w:szCs w:val="32"/>
          <w:u w:val="none"/>
          <w:lang w:val="en-US" w:eastAsia="zh-CN"/>
        </w:rPr>
        <w:t>成员单位</w:t>
      </w:r>
      <w:r>
        <w:rPr>
          <w:rFonts w:hint="default" w:ascii="仿宋_GB2312" w:hAnsi="Calibri" w:eastAsia="仿宋_GB2312" w:cs="Times New Roman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u w:val="none"/>
          <w:lang w:val="en-US" w:eastAsia="zh-CN"/>
        </w:rPr>
        <w:t>各区（新区、深汕特别合作区）应急管理局</w:t>
      </w:r>
      <w:r>
        <w:rPr>
          <w:rFonts w:hint="default" w:ascii="仿宋_GB2312" w:hAnsi="Calibri" w:eastAsia="仿宋_GB2312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仿宋_GB2312" w:eastAsia="仿宋_GB2312"/>
          <w:kern w:val="0"/>
          <w:sz w:val="32"/>
          <w:szCs w:val="32"/>
          <w:u w:val="none"/>
          <w:lang w:eastAsia="zh-CN"/>
        </w:rPr>
        <w:t>各类</w:t>
      </w:r>
      <w:r>
        <w:rPr>
          <w:rFonts w:hint="eastAsia" w:ascii="仿宋_GB2312" w:hAnsi="Calibri" w:eastAsia="仿宋_GB2312" w:cs="Times New Roman"/>
          <w:sz w:val="32"/>
          <w:szCs w:val="32"/>
          <w:u w:val="none"/>
          <w:lang w:val="en-US" w:eastAsia="zh-CN"/>
        </w:rPr>
        <w:t>科研院所，科技企业等参加。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大赛设置两条赛道，分别为政府赛道和</w:t>
      </w:r>
      <w:r>
        <w:rPr>
          <w:rFonts w:hint="default" w:ascii="仿宋_GB2312" w:hAnsi="Calibri" w:eastAsia="仿宋_GB2312" w:cs="Times New Roman"/>
          <w:b/>
          <w:bCs/>
          <w:sz w:val="32"/>
          <w:szCs w:val="32"/>
          <w:lang w:eastAsia="zh-CN"/>
        </w:rPr>
        <w:t>开放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赛道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政府赛道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面向政府单位，由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应急委、安委会</w:t>
      </w:r>
      <w:r>
        <w:rPr>
          <w:rFonts w:hint="default" w:ascii="仿宋_GB2312" w:eastAsia="仿宋_GB2312" w:cs="Times New Roman"/>
          <w:sz w:val="32"/>
          <w:szCs w:val="32"/>
          <w:lang w:eastAsia="zh-CN"/>
        </w:rPr>
        <w:t>、减灾委各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成员单位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各区（新区、深汕特别合作区）应急管理局，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市应急管理局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各处室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中心等参加，各参赛单位可针对日常工作中的业务痛点、难点问题，形成创意解决方案，要求可落地实施、可实战检验，已形成工作机制的优先。各参赛单位可选择安全生产、自然灾害、城市公共安全、城市生命线安全等领域，聚焦《深圳市城市生命线工程安全建设工作方案》45项工作任务，从需求分析、场景设计、解决方案、落地验证等环节开展设计，提交创意解决方案，已形成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成熟系统、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数据模型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或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运算结果的优先，最后由主办单位经过初步筛选，评出优秀方案，经现场答辩，由评审专家对方案进行打分。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b/>
          <w:bCs/>
          <w:sz w:val="32"/>
          <w:szCs w:val="32"/>
          <w:lang w:eastAsia="zh-CN"/>
        </w:rPr>
        <w:t>开放赛道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由科研院所、科技企业等参加，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鼓励各类民营科技企业积极参加。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各参赛单位可基于大数据分析，形成对应急安全业务进行数据分析、模型研判的参赛作品。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开放赛道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参赛单位可选择安全生产、自然灾害、城市公共安全、城市生命线安全等领域，聚焦《深圳市城市生命线工程安全建设工作方案》45项工作任务，基于大数据分析，对应急安全业务进行数据分析、模型研判，形成数据模型或运算结果的作品。由主办单位经过初步筛选，评出优秀作品，经现场答辩，由专家对方案进行打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大赛准备阶段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2023年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9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至10月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。主办单位开展大赛系列调研，联系专家收集办赛建议，确定赛事流程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组建工作团队，编制大赛工作方案，并组织实施。大赛将在应急安全领域组建专家评审团，在专家委员会指导下开展评审工作。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大赛宣传阶段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2023年10月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至11月上旬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。广泛宣传鼓励科研院所、科技企业等参与大赛，通过市应急管理局官网等平台宣传本次比赛。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（四）比赛开始及报名阶段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1、政府赛道和</w:t>
      </w:r>
      <w:r>
        <w:rPr>
          <w:rFonts w:hint="default" w:ascii="仿宋_GB2312" w:hAnsi="Calibri" w:eastAsia="仿宋_GB2312" w:cs="Times New Roman"/>
          <w:b/>
          <w:bCs/>
          <w:sz w:val="32"/>
          <w:szCs w:val="32"/>
          <w:lang w:eastAsia="zh-CN"/>
        </w:rPr>
        <w:t>开放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赛道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比赛</w:t>
      </w:r>
      <w:r>
        <w:rPr>
          <w:rFonts w:hint="default" w:ascii="仿宋_GB2312" w:hAnsi="Calibri" w:eastAsia="仿宋_GB2312" w:cs="Times New Roman"/>
          <w:b/>
          <w:bCs/>
          <w:sz w:val="32"/>
          <w:szCs w:val="32"/>
          <w:lang w:eastAsia="zh-CN"/>
        </w:rPr>
        <w:t>开始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时间为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2023年11月</w:t>
      </w:r>
      <w:r>
        <w:rPr>
          <w:rFonts w:hint="default" w:ascii="仿宋_GB2312" w:cs="Times New Roman"/>
          <w:sz w:val="32"/>
          <w:szCs w:val="32"/>
          <w:lang w:eastAsia="zh-CN"/>
        </w:rPr>
        <w:t>6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日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。正式公布大赛赛道、赛制等具体内容，组建赛事运营团队，负责赛事策划和运营。参赛单位填写政府赛道模型征集表(详见附件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）或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开放赛道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模型征集表(详见附件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），在报名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截止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时间内（2023年</w:t>
      </w:r>
      <w:r>
        <w:rPr>
          <w:rFonts w:hint="eastAsia" w:ascii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日18点前）发送至邮箱yjjkjc@sz.gov.cn。主办方为参赛单位提供赛事咨询、答疑等服务。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（五）作品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提交和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遴选阶段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2023年11月</w:t>
      </w:r>
      <w:r>
        <w:rPr>
          <w:rFonts w:hint="default" w:ascii="仿宋_GB2312" w:cs="Times New Roman"/>
          <w:sz w:val="32"/>
          <w:szCs w:val="32"/>
          <w:lang w:eastAsia="zh-CN"/>
        </w:rPr>
        <w:t>6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日-</w:t>
      </w:r>
      <w:r>
        <w:rPr>
          <w:rFonts w:hint="default" w:ascii="仿宋_GB2312" w:cs="Times New Roman"/>
          <w:sz w:val="32"/>
          <w:szCs w:val="32"/>
          <w:lang w:eastAsia="zh-CN"/>
        </w:rPr>
        <w:t>12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仿宋_GB2312" w:cs="Times New Roman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日。各参赛单位在作品投递时间内上传参赛作品至yjjkjc@sz.gov.cn;由主办单位对两赛道报名作品进行遴选，最终选定优秀参赛作品进入答辩阶段。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（六）答辩评审阶段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组织答辩会，经现场答辩，由专家分别对作品进行打分。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1、评审规则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政府赛道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主要从需求分析、场景设计、解决方案、落地可行性等环节考察作品，经过现场方案介绍和答辩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由专家评选出一等奖一名、二等奖二名、三等奖三名和优胜奖若干名（评分规则详见附件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b/>
          <w:bCs/>
          <w:sz w:val="32"/>
          <w:szCs w:val="32"/>
          <w:lang w:eastAsia="zh-CN"/>
        </w:rPr>
        <w:t>开放赛道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综合考虑数据获取难度、技术可行性、实用性、模型精度等方面，评选出一等奖一名、二等奖二名、三等奖三名和优胜奖若干名（评分规则详见附件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2、</w:t>
      </w:r>
      <w:r>
        <w:rPr>
          <w:rFonts w:hint="default" w:ascii="仿宋_GB2312" w:eastAsia="仿宋_GB2312" w:cs="Times New Roman"/>
          <w:sz w:val="32"/>
          <w:szCs w:val="32"/>
          <w:lang w:eastAsia="zh-CN"/>
        </w:rPr>
        <w:t>奖励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本次大赛以引入科技企业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参与安全应急事业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打通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后续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政企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合作通道，</w:t>
      </w:r>
      <w:r>
        <w:rPr>
          <w:rFonts w:hint="default" w:ascii="仿宋_GB2312" w:eastAsia="仿宋_GB2312" w:cs="Times New Roman"/>
          <w:sz w:val="32"/>
          <w:szCs w:val="32"/>
          <w:lang w:eastAsia="zh-CN"/>
        </w:rPr>
        <w:t>提供应急场景开发对接，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促进政企联合创新为目的，不设立奖金。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颁奖阶段</w:t>
      </w:r>
    </w:p>
    <w:p>
      <w:pPr>
        <w:spacing w:line="560" w:lineRule="exact"/>
        <w:ind w:firstLine="632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第二届深圳市应急管理数据创新大赛拟</w:t>
      </w:r>
      <w:r>
        <w:rPr>
          <w:rFonts w:hint="default" w:ascii="仿宋_GB2312" w:hAnsi="Calibri" w:eastAsia="仿宋_GB2312"/>
          <w:sz w:val="32"/>
          <w:szCs w:val="32"/>
          <w:lang w:eastAsia="zh-CN"/>
        </w:rPr>
        <w:t>组织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颁奖</w:t>
      </w:r>
      <w:r>
        <w:rPr>
          <w:rFonts w:hint="default" w:ascii="仿宋_GB2312" w:hAnsi="Calibri" w:eastAsia="仿宋_GB2312"/>
          <w:sz w:val="32"/>
          <w:szCs w:val="32"/>
          <w:lang w:eastAsia="zh-CN"/>
        </w:rPr>
        <w:t>活动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，并择优在</w:t>
      </w:r>
      <w:r>
        <w:rPr>
          <w:rFonts w:hint="default" w:ascii="仿宋_GB2312" w:hAnsi="Calibri" w:eastAsia="仿宋_GB2312"/>
          <w:sz w:val="32"/>
          <w:szCs w:val="32"/>
          <w:lang w:eastAsia="zh-CN"/>
        </w:rPr>
        <w:t>颁奖活动后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分享经验。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（一）原创原则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参赛作品严格遵守原创原则，请勿抄袭，盗用他人作品。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（二）数据安全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各参赛单位严格按照《深圳经济特区数据条例》中关于数据开放的相关规定执行；申请我局或其他单位数据时需使用脱敏后的数据，应规避任何暴露个人隐私、泄露敏感信息的风险；相关数据等文件勿上传云盘、微信群等存在风险的地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政府赛道模型征集表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025"/>
        <w:gridCol w:w="4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5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联系人及电话</w:t>
            </w:r>
          </w:p>
        </w:tc>
        <w:tc>
          <w:tcPr>
            <w:tcW w:w="65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模型名称</w:t>
            </w:r>
          </w:p>
        </w:tc>
        <w:tc>
          <w:tcPr>
            <w:tcW w:w="65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业务背景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（需求分析）</w:t>
            </w:r>
          </w:p>
        </w:tc>
        <w:tc>
          <w:tcPr>
            <w:tcW w:w="65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业务痛点说明</w:t>
            </w:r>
          </w:p>
        </w:tc>
        <w:tc>
          <w:tcPr>
            <w:tcW w:w="65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数据基础（涉及的数据）</w:t>
            </w:r>
          </w:p>
        </w:tc>
        <w:tc>
          <w:tcPr>
            <w:tcW w:w="65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解决方案</w:t>
            </w:r>
          </w:p>
        </w:tc>
        <w:tc>
          <w:tcPr>
            <w:tcW w:w="65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落地可行性</w:t>
            </w:r>
          </w:p>
        </w:tc>
        <w:tc>
          <w:tcPr>
            <w:tcW w:w="65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预期目标或成果</w:t>
            </w:r>
          </w:p>
        </w:tc>
        <w:tc>
          <w:tcPr>
            <w:tcW w:w="65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模型所涉及的数据清单（非必填）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数据名称</w:t>
            </w:r>
          </w:p>
        </w:tc>
        <w:tc>
          <w:tcPr>
            <w:tcW w:w="44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数据内容</w:t>
            </w:r>
          </w:p>
        </w:tc>
        <w:tc>
          <w:tcPr>
            <w:tcW w:w="44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数据范围</w:t>
            </w:r>
          </w:p>
        </w:tc>
        <w:tc>
          <w:tcPr>
            <w:tcW w:w="44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数据开放方式</w:t>
            </w:r>
          </w:p>
        </w:tc>
        <w:tc>
          <w:tcPr>
            <w:tcW w:w="44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所需其它部门数据清单（非必填）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数据名称</w:t>
            </w:r>
          </w:p>
        </w:tc>
        <w:tc>
          <w:tcPr>
            <w:tcW w:w="44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数据摘要</w:t>
            </w:r>
          </w:p>
        </w:tc>
        <w:tc>
          <w:tcPr>
            <w:tcW w:w="44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数源单位</w:t>
            </w:r>
          </w:p>
        </w:tc>
        <w:tc>
          <w:tcPr>
            <w:tcW w:w="44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成果应用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是否考虑赛事成果落地应用？是否有相关项目载体支持</w:t>
            </w:r>
          </w:p>
        </w:tc>
        <w:tc>
          <w:tcPr>
            <w:tcW w:w="44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 xml:space="preserve">（）是，项目名称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 xml:space="preserve">（）否，原因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注：篇幅不够可附页。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842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方正小标宋简体" w:hAnsi="Calibri" w:eastAsia="方正小标宋简体" w:cs="Times New Roman"/>
          <w:sz w:val="44"/>
          <w:szCs w:val="44"/>
          <w:lang w:eastAsia="zh-CN"/>
        </w:rPr>
        <w:t>开放赛道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模型征集表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025"/>
        <w:gridCol w:w="4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5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联系人及电话</w:t>
            </w:r>
          </w:p>
        </w:tc>
        <w:tc>
          <w:tcPr>
            <w:tcW w:w="65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模型名称</w:t>
            </w:r>
          </w:p>
        </w:tc>
        <w:tc>
          <w:tcPr>
            <w:tcW w:w="65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业务背景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（需求分析）</w:t>
            </w:r>
          </w:p>
        </w:tc>
        <w:tc>
          <w:tcPr>
            <w:tcW w:w="65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业务痛点说明</w:t>
            </w:r>
          </w:p>
        </w:tc>
        <w:tc>
          <w:tcPr>
            <w:tcW w:w="65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数据基础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（涉及的数据）</w:t>
            </w:r>
          </w:p>
        </w:tc>
        <w:tc>
          <w:tcPr>
            <w:tcW w:w="65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解决方案</w:t>
            </w:r>
          </w:p>
        </w:tc>
        <w:tc>
          <w:tcPr>
            <w:tcW w:w="65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落地可行性</w:t>
            </w:r>
          </w:p>
        </w:tc>
        <w:tc>
          <w:tcPr>
            <w:tcW w:w="65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预期目标或成果</w:t>
            </w:r>
          </w:p>
        </w:tc>
        <w:tc>
          <w:tcPr>
            <w:tcW w:w="65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本部门可提供的数据清单（非必填）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数据名称</w:t>
            </w:r>
          </w:p>
        </w:tc>
        <w:tc>
          <w:tcPr>
            <w:tcW w:w="44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数据内容</w:t>
            </w:r>
          </w:p>
        </w:tc>
        <w:tc>
          <w:tcPr>
            <w:tcW w:w="44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数据范围</w:t>
            </w:r>
          </w:p>
        </w:tc>
        <w:tc>
          <w:tcPr>
            <w:tcW w:w="44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数据开放方式</w:t>
            </w:r>
          </w:p>
        </w:tc>
        <w:tc>
          <w:tcPr>
            <w:tcW w:w="44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所需其它部门数据清单（非必填）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数据名称</w:t>
            </w:r>
          </w:p>
        </w:tc>
        <w:tc>
          <w:tcPr>
            <w:tcW w:w="44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数据摘要</w:t>
            </w:r>
          </w:p>
        </w:tc>
        <w:tc>
          <w:tcPr>
            <w:tcW w:w="44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数源单位</w:t>
            </w:r>
          </w:p>
        </w:tc>
        <w:tc>
          <w:tcPr>
            <w:tcW w:w="44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成果应用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是否考虑赛事成果落地应用？是否有相关项目载体支持</w:t>
            </w:r>
          </w:p>
        </w:tc>
        <w:tc>
          <w:tcPr>
            <w:tcW w:w="44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 xml:space="preserve">（）是，项目名称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 xml:space="preserve">（）否，原因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注：篇幅不够可附页。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pStyle w:val="4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政府赛道评分规则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lang w:val="en-US" w:eastAsia="zh-CN"/>
        </w:rPr>
      </w:pPr>
    </w:p>
    <w:tbl>
      <w:tblPr>
        <w:tblStyle w:val="7"/>
        <w:tblW w:w="7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5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评审规则</w:t>
            </w:r>
          </w:p>
        </w:tc>
        <w:tc>
          <w:tcPr>
            <w:tcW w:w="54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作品完整性 (10分)</w:t>
            </w:r>
          </w:p>
        </w:tc>
        <w:tc>
          <w:tcPr>
            <w:tcW w:w="54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基于场景设计，提出解决方案，形成较完善的分析报告、产品原型或其它形式的综合方案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作品有效性(20分)</w:t>
            </w:r>
          </w:p>
        </w:tc>
        <w:tc>
          <w:tcPr>
            <w:tcW w:w="54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基于所列场景方向，通过需求分析，有效把握需求痛点、难点、堵点，提出减少社会成本、提高效益、可解决问题的思路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作品创新性(10分)</w:t>
            </w:r>
          </w:p>
        </w:tc>
        <w:tc>
          <w:tcPr>
            <w:tcW w:w="54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作品方案具有较强的创新性，与传统方法有明显升级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作品先进性 (10分)</w:t>
            </w:r>
          </w:p>
        </w:tc>
        <w:tc>
          <w:tcPr>
            <w:tcW w:w="54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作品方案有效使用5G、大数据、人工智能等先进技术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作品可行性(20分)</w:t>
            </w:r>
          </w:p>
        </w:tc>
        <w:tc>
          <w:tcPr>
            <w:tcW w:w="54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作品方案符合实际场景需求数据易获得，可落地应用，解决真实业务难题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作品普适性 (10分)</w:t>
            </w:r>
          </w:p>
        </w:tc>
        <w:tc>
          <w:tcPr>
            <w:tcW w:w="54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作品方案具有较强的普适性，可适用于相关方向的多种场景，解决多类问题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作品社会价值 (10分）</w:t>
            </w:r>
          </w:p>
        </w:tc>
        <w:tc>
          <w:tcPr>
            <w:tcW w:w="54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作品方案实际应用后，可产生较大社会效益，切实提高应急管理水平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作品商业价值 (10分）</w:t>
            </w:r>
          </w:p>
        </w:tc>
        <w:tc>
          <w:tcPr>
            <w:tcW w:w="54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作品方案可高效率、低费用应用，具有较强的推广潜力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加分项</w:t>
            </w:r>
          </w:p>
        </w:tc>
        <w:tc>
          <w:tcPr>
            <w:tcW w:w="54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作品形成数据模型或运算结果的可加分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方正小标宋简体" w:hAnsi="Calibri" w:eastAsia="方正小标宋简体" w:cs="Times New Roman"/>
          <w:sz w:val="44"/>
          <w:szCs w:val="44"/>
          <w:lang w:eastAsia="zh-CN"/>
        </w:rPr>
        <w:t>开放赛道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评分规则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/>
          <w:lang w:val="en-US" w:eastAsia="zh-CN"/>
        </w:rPr>
      </w:pPr>
    </w:p>
    <w:tbl>
      <w:tblPr>
        <w:tblStyle w:val="7"/>
        <w:tblW w:w="8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8"/>
        <w:gridCol w:w="5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评审规则</w:t>
            </w:r>
          </w:p>
        </w:tc>
        <w:tc>
          <w:tcPr>
            <w:tcW w:w="5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作品完整性 (10分)</w:t>
            </w:r>
          </w:p>
        </w:tc>
        <w:tc>
          <w:tcPr>
            <w:tcW w:w="5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基于场景设计，提出解决方案，形成完善的数据分析报告、运算结果或其它形式的综合作品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作品有效性(20分)</w:t>
            </w:r>
          </w:p>
        </w:tc>
        <w:tc>
          <w:tcPr>
            <w:tcW w:w="5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基于所列场景方向，通过数据分析，有效把握需求痛点、难点、堵点，得出具体的数据分析结论，形成了减少社会成本、提高效益、可解决问题的定量结论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作品创新性(10分)</w:t>
            </w:r>
          </w:p>
        </w:tc>
        <w:tc>
          <w:tcPr>
            <w:tcW w:w="5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作品方案具有较强的创新性，与传统方法有明显升级，运用了创新的数据分析手段，对安全生产、自然灾害、城市公共安全、城市生命线业务有新的数据技术指导方向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作品先进性 (10分)</w:t>
            </w:r>
          </w:p>
        </w:tc>
        <w:tc>
          <w:tcPr>
            <w:tcW w:w="5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作品方案有效使用5G、大数据、人工智能等先进技术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作品可行性(20分)</w:t>
            </w:r>
          </w:p>
        </w:tc>
        <w:tc>
          <w:tcPr>
            <w:tcW w:w="5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作品方案符合实际场景需求，数据易获得，可落地应用，解决真实业务难题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作品普适性 (10分)</w:t>
            </w:r>
          </w:p>
        </w:tc>
        <w:tc>
          <w:tcPr>
            <w:tcW w:w="5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作品方案具有较强的普适性，可适用于相关方向的多种场景，解决多类问题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作品社会价值 (10分）</w:t>
            </w:r>
          </w:p>
        </w:tc>
        <w:tc>
          <w:tcPr>
            <w:tcW w:w="5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作品方案实际应用后，可产生较大社会效益，切实提高应急管理水平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作品商业价值 (10分）</w:t>
            </w:r>
          </w:p>
        </w:tc>
        <w:tc>
          <w:tcPr>
            <w:tcW w:w="5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作品方案可高效率、低费用应用，具有较强的推广潜力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6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6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6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pStyle w:val="9"/>
        <w:keepNext w:val="0"/>
        <w:keepLines w:val="0"/>
        <w:pageBreakBefore w:val="0"/>
        <w:widowControl w:val="0"/>
        <w:tabs>
          <w:tab w:val="right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i w:val="0"/>
          <w:iCs w:val="0"/>
          <w:caps w:val="0"/>
          <w:spacing w:val="0"/>
          <w:kern w:val="2"/>
          <w:sz w:val="44"/>
          <w:szCs w:val="44"/>
          <w:shd w:val="clear"/>
        </w:rPr>
      </w:pPr>
      <w:r>
        <w:rPr>
          <w:rFonts w:hint="eastAsia" w:ascii="方正小标宋简体" w:eastAsia="方正小标宋简体"/>
          <w:kern w:val="2"/>
          <w:sz w:val="44"/>
          <w:szCs w:val="44"/>
          <w:lang w:val="en-US" w:eastAsia="zh-CN"/>
        </w:rPr>
        <w:t>第一届</w:t>
      </w:r>
      <w:r>
        <w:rPr>
          <w:rFonts w:hint="eastAsia" w:ascii="方正小标宋简体" w:hAnsi="Times New Roman" w:eastAsia="方正小标宋简体" w:cs="Times New Roman"/>
          <w:i w:val="0"/>
          <w:iCs w:val="0"/>
          <w:caps w:val="0"/>
          <w:spacing w:val="0"/>
          <w:kern w:val="2"/>
          <w:sz w:val="44"/>
          <w:szCs w:val="44"/>
          <w:shd w:val="clear"/>
        </w:rPr>
        <w:t>深圳市应急管理数据创新大赛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i w:val="0"/>
          <w:iCs w:val="0"/>
          <w:caps w:val="0"/>
          <w:spacing w:val="0"/>
          <w:kern w:val="2"/>
          <w:sz w:val="44"/>
          <w:szCs w:val="44"/>
          <w:shd w:val="clear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i w:val="0"/>
          <w:iCs w:val="0"/>
          <w:caps w:val="0"/>
          <w:spacing w:val="0"/>
          <w:kern w:val="2"/>
          <w:sz w:val="44"/>
          <w:szCs w:val="44"/>
          <w:shd w:val="clear"/>
          <w:lang w:val="en-US" w:eastAsia="zh-CN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i w:val="0"/>
          <w:iCs w:val="0"/>
          <w:caps w:val="0"/>
          <w:spacing w:val="0"/>
          <w:kern w:val="2"/>
          <w:sz w:val="44"/>
          <w:szCs w:val="44"/>
          <w:shd w:val="clear"/>
          <w:lang w:val="en-US" w:eastAsia="zh-CN"/>
        </w:rPr>
      </w:pPr>
    </w:p>
    <w:tbl>
      <w:tblPr>
        <w:tblStyle w:val="6"/>
        <w:tblW w:w="87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730"/>
        <w:gridCol w:w="3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3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模型名称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AR高清巡查指引模型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三防：城市积涝点、海滨浴场、河道智能视频识别模型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市应急管理局防灾减灾处（地震处）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核电站场外应急疏散分析模型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市应急管理局应急指挥和预案管理处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联合惩戒企业智能分析模型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市应急管理局安全监管和执法处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法规智能问答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市应急管理局法规和宣传处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室外应急避难场所空间布局合理性评价模型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市应急管理局防灾减灾处（地震处）</w:t>
            </w:r>
          </w:p>
        </w:tc>
      </w:tr>
    </w:tbl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color w:val="000000"/>
          <w:sz w:val="28"/>
          <w:szCs w:val="28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28"/>
          <w:szCs w:val="28"/>
          <w:lang w:val="en-US" w:eastAsia="zh-CN"/>
        </w:rPr>
        <w:t>注：第一届创新大赛分为创意方案赛和数据挖掘赛两赛道，仅供参考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334D8"/>
    <w:multiLevelType w:val="singleLevel"/>
    <w:tmpl w:val="98C334D8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4E9C09E"/>
    <w:multiLevelType w:val="singleLevel"/>
    <w:tmpl w:val="54E9C09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ZmM4YzEwMTdhNmJjMjE5ZDBlZjgxYWQ1M2Q4ZjMifQ=="/>
  </w:docVars>
  <w:rsids>
    <w:rsidRoot w:val="00000000"/>
    <w:rsid w:val="0666333E"/>
    <w:rsid w:val="1DF95513"/>
    <w:rsid w:val="5F3C5154"/>
    <w:rsid w:val="5FA605C9"/>
    <w:rsid w:val="6B79100E"/>
    <w:rsid w:val="7B61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after="120" w:line="560" w:lineRule="exact"/>
      <w:ind w:firstLine="880" w:firstLineChars="200"/>
    </w:pPr>
    <w:rPr>
      <w:rFonts w:ascii="Times New Roman" w:hAnsi="Times New Roman" w:eastAsia="仿宋_GB2312"/>
      <w:sz w:val="32"/>
      <w:szCs w:val="32"/>
    </w:rPr>
  </w:style>
  <w:style w:type="paragraph" w:styleId="3">
    <w:name w:val="Title"/>
    <w:basedOn w:val="1"/>
    <w:next w:val="4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JIA"/>
    <w:basedOn w:val="1"/>
    <w:qFormat/>
    <w:uiPriority w:val="0"/>
    <w:pPr>
      <w:spacing w:line="560" w:lineRule="exact"/>
      <w:ind w:firstLine="640" w:firstLineChars="200"/>
    </w:pPr>
    <w:rPr>
      <w:rFonts w:ascii="仿宋_GB2312" w:hAnsi="楷体" w:eastAsia="仿宋_GB2312" w:cs="宋体"/>
      <w:sz w:val="32"/>
      <w:szCs w:val="36"/>
    </w:rPr>
  </w:style>
  <w:style w:type="paragraph" w:customStyle="1" w:styleId="10">
    <w:name w:val="Char1"/>
    <w:basedOn w:val="1"/>
    <w:qFormat/>
    <w:uiPriority w:val="0"/>
    <w:rPr>
      <w:rFonts w:ascii="Tahoma" w:hAnsi="Tahoma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2023-11-14T10:02:00Z</dcterms:created>
  <dc:creator>东冬</dc:creator>
  <cp:lastModifiedBy>Tarvic </cp:lastModifiedBy>
  <dcterms:modified xsi:type="dcterms:W3CDTF">2023-11-24T03:56:27Z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D7BC12A2B01D4F43B411CD502746257D_12</vt:lpwstr>
  </property>
</Properties>
</file>