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1E4F" w14:textId="77777777" w:rsidR="00E17DD4" w:rsidRDefault="00E17DD4">
      <w:pPr>
        <w:tabs>
          <w:tab w:val="left" w:pos="360"/>
          <w:tab w:val="left" w:pos="540"/>
          <w:tab w:val="left" w:pos="8100"/>
          <w:tab w:val="left" w:pos="8460"/>
        </w:tabs>
        <w:spacing w:line="540" w:lineRule="exact"/>
        <w:rPr>
          <w:rFonts w:ascii="黑体" w:eastAsia="黑体" w:hAnsi="宋体"/>
          <w:kern w:val="0"/>
        </w:rPr>
      </w:pPr>
    </w:p>
    <w:p w14:paraId="42B39BB5" w14:textId="77777777" w:rsidR="00E17DD4" w:rsidRDefault="00E17DD4">
      <w:pPr>
        <w:spacing w:line="540" w:lineRule="exact"/>
        <w:rPr>
          <w:rFonts w:ascii="黑体" w:eastAsia="黑体" w:hAnsi="宋体"/>
          <w:kern w:val="0"/>
        </w:rPr>
      </w:pPr>
    </w:p>
    <w:p w14:paraId="7F6954E1" w14:textId="77777777" w:rsidR="00E17DD4" w:rsidRDefault="00E17DD4">
      <w:pPr>
        <w:spacing w:line="540" w:lineRule="exact"/>
        <w:rPr>
          <w:rFonts w:ascii="黑体" w:eastAsia="黑体" w:hAnsi="宋体"/>
          <w:kern w:val="0"/>
        </w:rPr>
      </w:pPr>
    </w:p>
    <w:p w14:paraId="06EA2BAF" w14:textId="77777777" w:rsidR="00E17DD4" w:rsidRDefault="00E17DD4">
      <w:pPr>
        <w:spacing w:line="540" w:lineRule="exact"/>
        <w:rPr>
          <w:rFonts w:ascii="仿宋_GB2312" w:hAnsi="宋体"/>
          <w:kern w:val="0"/>
        </w:rPr>
      </w:pPr>
    </w:p>
    <w:p w14:paraId="609A9A6F" w14:textId="77777777" w:rsidR="00E17DD4" w:rsidRDefault="00E17DD4">
      <w:pPr>
        <w:spacing w:line="540" w:lineRule="exact"/>
        <w:rPr>
          <w:rFonts w:ascii="仿宋_GB2312" w:hAnsi="宋体"/>
          <w:kern w:val="0"/>
        </w:rPr>
      </w:pPr>
    </w:p>
    <w:p w14:paraId="26238791" w14:textId="77777777" w:rsidR="00E17DD4" w:rsidRDefault="00E17DD4">
      <w:pPr>
        <w:spacing w:line="540" w:lineRule="exact"/>
        <w:rPr>
          <w:rFonts w:ascii="仿宋_GB2312" w:hAnsi="宋体"/>
          <w:kern w:val="0"/>
        </w:rPr>
      </w:pPr>
    </w:p>
    <w:p w14:paraId="3C148717" w14:textId="77777777" w:rsidR="00E17DD4" w:rsidRDefault="00E17DD4">
      <w:pPr>
        <w:tabs>
          <w:tab w:val="left" w:pos="7155"/>
        </w:tabs>
        <w:spacing w:line="540" w:lineRule="exact"/>
        <w:jc w:val="center"/>
        <w:rPr>
          <w:rFonts w:ascii="仿宋_GB2312" w:hAnsi="宋体"/>
          <w:kern w:val="0"/>
        </w:rPr>
      </w:pPr>
    </w:p>
    <w:p w14:paraId="7A8F46C8" w14:textId="77777777" w:rsidR="00E17DD4" w:rsidRDefault="00000000">
      <w:pPr>
        <w:spacing w:line="500" w:lineRule="exact"/>
        <w:ind w:firstLineChars="56" w:firstLine="177"/>
        <w:jc w:val="center"/>
        <w:rPr>
          <w:rFonts w:ascii="楷体_GB2312" w:eastAsia="楷体_GB2312"/>
        </w:rPr>
      </w:pPr>
      <w:r>
        <w:rPr>
          <w:rFonts w:ascii="仿宋_GB2312" w:hAnsi="宋体" w:hint="eastAsia"/>
          <w:kern w:val="0"/>
        </w:rPr>
        <w:t>深应急</w:t>
      </w:r>
      <w:proofErr w:type="gramStart"/>
      <w:r>
        <w:rPr>
          <w:rFonts w:ascii="仿宋_GB2312" w:hAnsi="宋体" w:hint="eastAsia"/>
          <w:kern w:val="0"/>
        </w:rPr>
        <w:t>规</w:t>
      </w:r>
      <w:proofErr w:type="gramEnd"/>
      <w:r>
        <w:rPr>
          <w:rFonts w:ascii="宋体" w:hAnsi="宋体" w:hint="eastAsia"/>
          <w:kern w:val="0"/>
        </w:rPr>
        <w:t>〔</w:t>
      </w:r>
      <w:r>
        <w:rPr>
          <w:rFonts w:ascii="仿宋_GB2312" w:hAnsi="宋体" w:hint="eastAsia"/>
          <w:kern w:val="0"/>
        </w:rPr>
        <w:t>2022〕2号</w:t>
      </w:r>
    </w:p>
    <w:p w14:paraId="659B6728" w14:textId="77777777" w:rsidR="00E17DD4" w:rsidRDefault="00E17DD4">
      <w:pPr>
        <w:spacing w:line="500" w:lineRule="exact"/>
        <w:ind w:firstLineChars="56" w:firstLine="177"/>
        <w:jc w:val="center"/>
        <w:rPr>
          <w:rFonts w:ascii="楷体_GB2312" w:eastAsia="楷体_GB2312"/>
        </w:rPr>
      </w:pPr>
    </w:p>
    <w:p w14:paraId="15D15727" w14:textId="77777777" w:rsidR="00E17DD4" w:rsidRDefault="00E17DD4">
      <w:pPr>
        <w:pStyle w:val="0"/>
        <w:spacing w:line="560" w:lineRule="exact"/>
        <w:rPr>
          <w:rFonts w:ascii="方正小标宋简体" w:eastAsia="方正小标宋简体" w:hAnsi="方正小标宋简体" w:cs="方正小标宋简体"/>
          <w:color w:val="000000"/>
          <w:sz w:val="32"/>
          <w:szCs w:val="44"/>
        </w:rPr>
      </w:pPr>
      <w:bookmarkStart w:id="0" w:name="文号"/>
      <w:bookmarkStart w:id="1" w:name="CONTENT"/>
      <w:bookmarkStart w:id="2" w:name="文件标题"/>
      <w:bookmarkStart w:id="3" w:name="SENDDOCUMENT_ORGAN"/>
      <w:bookmarkStart w:id="4" w:name="单位名称"/>
      <w:bookmarkStart w:id="5" w:name="biaoti"/>
      <w:bookmarkStart w:id="6" w:name="text"/>
      <w:bookmarkStart w:id="7" w:name="紧急程度"/>
      <w:bookmarkStart w:id="8" w:name="主送机关"/>
      <w:bookmarkStart w:id="9" w:name="_Hlk65075722"/>
      <w:bookmarkEnd w:id="0"/>
      <w:bookmarkEnd w:id="1"/>
      <w:bookmarkEnd w:id="2"/>
      <w:bookmarkEnd w:id="3"/>
      <w:bookmarkEnd w:id="4"/>
      <w:bookmarkEnd w:id="5"/>
      <w:bookmarkEnd w:id="6"/>
      <w:bookmarkEnd w:id="7"/>
      <w:bookmarkEnd w:id="8"/>
    </w:p>
    <w:p w14:paraId="1B09430B" w14:textId="77777777" w:rsidR="00E17DD4" w:rsidRDefault="00000000">
      <w:pPr>
        <w:pStyle w:val="0"/>
        <w:spacing w:line="54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深圳市应急管理局关于印发深圳市生产安全</w:t>
      </w:r>
    </w:p>
    <w:p w14:paraId="4D5DC899" w14:textId="77777777" w:rsidR="00E17DD4" w:rsidRDefault="00000000">
      <w:pPr>
        <w:pStyle w:val="0"/>
        <w:spacing w:line="54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事故应急预案评审和备案工作的通知</w:t>
      </w:r>
    </w:p>
    <w:bookmarkEnd w:id="9"/>
    <w:p w14:paraId="21E579FD" w14:textId="77777777" w:rsidR="00E17DD4" w:rsidRDefault="00E17DD4">
      <w:pPr>
        <w:pStyle w:val="11"/>
        <w:spacing w:line="540" w:lineRule="exact"/>
        <w:rPr>
          <w:rFonts w:ascii="仿宋_GB2312" w:eastAsia="仿宋_GB2312" w:hAnsi="方正小标宋简体" w:cs="方正小标宋简体"/>
          <w:sz w:val="32"/>
          <w:szCs w:val="32"/>
        </w:rPr>
      </w:pPr>
    </w:p>
    <w:p w14:paraId="7B85A1AB" w14:textId="77777777" w:rsidR="00E17DD4" w:rsidRDefault="00000000">
      <w:pPr>
        <w:pStyle w:val="11"/>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w:t>
      </w:r>
    </w:p>
    <w:p w14:paraId="50981741"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为规范我市重点行业、领域生产经营单位生产安全事故应急预案（以下简称应急预案）评审和备案工作，根据《生产安全事故应急条例》（国务院708号令）和《生产安全事故应急预案管理办法》（应急管理部2号令），结合我市实际，制定本通知，</w:t>
      </w:r>
      <w:r>
        <w:rPr>
          <w:rFonts w:ascii="仿宋_GB2312" w:hAnsi="仿宋_GB2312" w:cs="仿宋_GB2312" w:hint="eastAsia"/>
          <w:sz w:val="32"/>
          <w:szCs w:val="32"/>
        </w:rPr>
        <w:t>自2022年12月1日起施行，有效期5年</w:t>
      </w:r>
      <w:r>
        <w:rPr>
          <w:rFonts w:ascii="仿宋_GB2312" w:hAnsi="仿宋_GB2312" w:cs="仿宋_GB2312" w:hint="eastAsia"/>
          <w:sz w:val="32"/>
          <w:szCs w:val="32"/>
          <w:shd w:val="clear" w:color="auto" w:fill="FFFFFF"/>
          <w:lang w:bidi="ar"/>
        </w:rPr>
        <w:t>。</w:t>
      </w:r>
    </w:p>
    <w:p w14:paraId="75C0F572" w14:textId="77777777" w:rsidR="00E17DD4" w:rsidRDefault="00000000">
      <w:pPr>
        <w:pStyle w:val="ad"/>
        <w:shd w:val="clear" w:color="auto" w:fill="FFFFFF"/>
        <w:snapToGrid w:val="0"/>
        <w:spacing w:before="0" w:beforeAutospacing="0" w:after="0" w:afterAutospacing="0" w:line="540" w:lineRule="exact"/>
        <w:ind w:firstLineChars="200" w:firstLine="632"/>
        <w:jc w:val="both"/>
        <w:outlineLvl w:val="1"/>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t>一、总体要求</w:t>
      </w:r>
    </w:p>
    <w:p w14:paraId="069518A5"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深圳市范围内的生产经营单位应当针对本单位可能发生的生产安全事故的特点和危害，进行事故风险辨识评估和应急资源调查，制定相应的应急预案（事故风险单一、危险性小的生产经营</w:t>
      </w:r>
      <w:r>
        <w:rPr>
          <w:rFonts w:ascii="仿宋_GB2312" w:hAnsi="仿宋_GB2312" w:cs="仿宋_GB2312" w:hint="eastAsia"/>
          <w:sz w:val="32"/>
          <w:szCs w:val="32"/>
          <w:shd w:val="clear" w:color="auto" w:fill="FFFFFF"/>
          <w:lang w:bidi="ar"/>
        </w:rPr>
        <w:lastRenderedPageBreak/>
        <w:t>单位可以只编制现场处置方案），并向本单位从业人员公布。六类生产经营单位（详见第二部分）应当对本单位编制的应急预案进行评审。八类生产经营单位（详见第三部分）应当按照分级属地原则，将本单位编制的应急预案向负有安全生产监督管理职责的部门备案。</w:t>
      </w:r>
    </w:p>
    <w:p w14:paraId="20DF19BB"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法律、法规、规章对生产经营单位生产安全事故应急预案管理另有规定的，从其规定。</w:t>
      </w:r>
    </w:p>
    <w:p w14:paraId="29EADFB8" w14:textId="77777777" w:rsidR="00E17DD4" w:rsidRDefault="00000000">
      <w:pPr>
        <w:pStyle w:val="ad"/>
        <w:shd w:val="clear" w:color="auto" w:fill="FFFFFF"/>
        <w:snapToGrid w:val="0"/>
        <w:spacing w:before="0" w:beforeAutospacing="0" w:after="0" w:afterAutospacing="0" w:line="540" w:lineRule="exact"/>
        <w:ind w:firstLineChars="200" w:firstLine="632"/>
        <w:jc w:val="both"/>
        <w:outlineLvl w:val="1"/>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t>二、</w:t>
      </w:r>
      <w:bookmarkStart w:id="10" w:name="_Hlk22916817"/>
      <w:r>
        <w:rPr>
          <w:rFonts w:ascii="黑体" w:eastAsia="黑体" w:hAnsi="黑体" w:cs="黑体" w:hint="eastAsia"/>
          <w:sz w:val="32"/>
          <w:szCs w:val="32"/>
          <w:shd w:val="clear" w:color="auto" w:fill="FFFFFF"/>
          <w:lang w:bidi="ar"/>
        </w:rPr>
        <w:t>应急预案的评审</w:t>
      </w:r>
      <w:bookmarkEnd w:id="10"/>
    </w:p>
    <w:p w14:paraId="329565F1" w14:textId="77777777" w:rsidR="00E17DD4" w:rsidRDefault="00000000">
      <w:pPr>
        <w:pStyle w:val="ad"/>
        <w:shd w:val="clear" w:color="auto" w:fill="FFFFFF"/>
        <w:snapToGrid w:val="0"/>
        <w:spacing w:before="0" w:beforeAutospacing="0" w:after="0" w:afterAutospacing="0" w:line="540" w:lineRule="exact"/>
        <w:ind w:firstLineChars="200" w:firstLine="632"/>
        <w:jc w:val="both"/>
        <w:outlineLvl w:val="2"/>
        <w:rPr>
          <w:rFonts w:ascii="仿宋_GB2312" w:hAnsi="仿宋_GB2312" w:cs="仿宋_GB2312"/>
          <w:sz w:val="32"/>
          <w:szCs w:val="32"/>
          <w:shd w:val="clear" w:color="auto" w:fill="FFFFFF"/>
          <w:lang w:bidi="ar"/>
        </w:rPr>
      </w:pPr>
      <w:r>
        <w:rPr>
          <w:rFonts w:ascii="楷体_GB2312" w:eastAsia="楷体_GB2312" w:hAnsi="楷体_GB2312" w:cs="楷体_GB2312" w:hint="eastAsia"/>
          <w:sz w:val="32"/>
          <w:szCs w:val="32"/>
          <w:shd w:val="clear" w:color="auto" w:fill="FFFFFF"/>
          <w:lang w:bidi="ar"/>
        </w:rPr>
        <w:t>（一）涉及的生产经营单位范围（六类）</w:t>
      </w:r>
    </w:p>
    <w:p w14:paraId="2874AF0F"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1.非煤矿山企业;</w:t>
      </w:r>
    </w:p>
    <w:p w14:paraId="1F6CAA7E"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2.金属冶炼企业;</w:t>
      </w:r>
    </w:p>
    <w:p w14:paraId="26D567A9"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3.易燃易爆物品、危险化学品的生产、经营（带储存设施的，下同）、储存、运输企业;</w:t>
      </w:r>
    </w:p>
    <w:p w14:paraId="63F68799"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4.使用危险化学品达到国家规定数量的化工企业;</w:t>
      </w:r>
    </w:p>
    <w:p w14:paraId="03BCE42F"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5.烟花爆竹批发经营企业;</w:t>
      </w:r>
    </w:p>
    <w:p w14:paraId="008A8C43"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6.中型规模以上的其他生产经营单位。</w:t>
      </w:r>
    </w:p>
    <w:p w14:paraId="5E3387C2" w14:textId="77777777" w:rsidR="00E17DD4" w:rsidRDefault="00000000">
      <w:pPr>
        <w:pStyle w:val="ad"/>
        <w:shd w:val="clear" w:color="auto" w:fill="FFFFFF"/>
        <w:snapToGrid w:val="0"/>
        <w:spacing w:before="0" w:beforeAutospacing="0" w:after="0" w:afterAutospacing="0" w:line="540" w:lineRule="exact"/>
        <w:ind w:firstLineChars="200" w:firstLine="632"/>
        <w:jc w:val="both"/>
        <w:outlineLvl w:val="2"/>
        <w:rPr>
          <w:rFonts w:ascii="楷体_GB2312" w:eastAsia="楷体_GB2312" w:hAnsi="楷体_GB2312" w:cs="楷体_GB2312"/>
          <w:sz w:val="32"/>
          <w:szCs w:val="32"/>
          <w:shd w:val="clear" w:color="auto" w:fill="FFFFFF"/>
          <w:lang w:bidi="ar"/>
        </w:rPr>
      </w:pPr>
      <w:r>
        <w:rPr>
          <w:rFonts w:ascii="楷体_GB2312" w:eastAsia="楷体_GB2312" w:hAnsi="楷体_GB2312" w:cs="楷体_GB2312" w:hint="eastAsia"/>
          <w:sz w:val="32"/>
          <w:szCs w:val="32"/>
          <w:shd w:val="clear" w:color="auto" w:fill="FFFFFF"/>
          <w:lang w:bidi="ar"/>
        </w:rPr>
        <w:t>（二）评审专家的资格条件</w:t>
      </w:r>
    </w:p>
    <w:p w14:paraId="79EBF7C3" w14:textId="77777777" w:rsidR="00E17DD4" w:rsidRDefault="00000000">
      <w:pPr>
        <w:pStyle w:val="ad"/>
        <w:shd w:val="clear" w:color="auto" w:fill="FFFFFF"/>
        <w:snapToGrid w:val="0"/>
        <w:spacing w:before="0" w:beforeAutospacing="0" w:after="0" w:afterAutospacing="0" w:line="540" w:lineRule="exact"/>
        <w:ind w:firstLineChars="200" w:firstLine="632"/>
        <w:jc w:val="both"/>
        <w:outlineLvl w:val="2"/>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1.必备条件。熟悉所评审生产经营单位的行业工作特点，或者具备应急管理领域专业知识，并与所评审应急预案的生产经营单位无利害关系。</w:t>
      </w:r>
    </w:p>
    <w:p w14:paraId="6C8CFAC9"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2.人数条件。参与评审的专家人数根据生产经营单位规模而定，原则上不少于3人。中型以上规模的生产经营单位应急预案评审专家人数不少于5人。</w:t>
      </w:r>
    </w:p>
    <w:p w14:paraId="777DD01A"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lastRenderedPageBreak/>
        <w:t>3.资质条件。从事应急管理领域工作满3年，具有相关专业的高级职称；或者从事应急管理领域工作满7年，具有相关专业的中级职称或者取得中级注册安全工程师职业资格。</w:t>
      </w:r>
    </w:p>
    <w:p w14:paraId="30A5629E" w14:textId="77777777" w:rsidR="00E17DD4" w:rsidRDefault="00000000">
      <w:pPr>
        <w:pStyle w:val="ad"/>
        <w:shd w:val="clear" w:color="auto" w:fill="FFFFFF"/>
        <w:snapToGrid w:val="0"/>
        <w:spacing w:before="0" w:beforeAutospacing="0" w:after="0" w:afterAutospacing="0" w:line="540" w:lineRule="exact"/>
        <w:ind w:firstLineChars="200" w:firstLine="632"/>
        <w:jc w:val="both"/>
        <w:outlineLvl w:val="2"/>
        <w:rPr>
          <w:rFonts w:ascii="楷体_GB2312" w:eastAsia="楷体_GB2312" w:hAnsi="楷体_GB2312" w:cs="楷体_GB2312"/>
          <w:sz w:val="32"/>
          <w:szCs w:val="32"/>
          <w:shd w:val="clear" w:color="auto" w:fill="FFFFFF"/>
          <w:lang w:bidi="ar"/>
        </w:rPr>
      </w:pPr>
      <w:r>
        <w:rPr>
          <w:rFonts w:ascii="楷体_GB2312" w:eastAsia="楷体_GB2312" w:hAnsi="楷体_GB2312" w:cs="楷体_GB2312" w:hint="eastAsia"/>
          <w:sz w:val="32"/>
          <w:szCs w:val="32"/>
          <w:shd w:val="clear" w:color="auto" w:fill="FFFFFF"/>
          <w:lang w:bidi="ar"/>
        </w:rPr>
        <w:t>（三）评审流程和组织方式</w:t>
      </w:r>
    </w:p>
    <w:p w14:paraId="53C513E6"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1.评审准备。生产经营单位确定参加评审的专家，并在评审前将应急预案、事故风险辨识评估报告和应急资源调查清单等有关资料送达参加评审的专家。</w:t>
      </w:r>
    </w:p>
    <w:p w14:paraId="4A9949DA"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2.要素评审。评审专家依据国家有关法律法规、有关技术标准和行业规范，结合本通知明确的评审要点，判断应急预案是否符合有关要求，填写应急预案要素评审表。</w:t>
      </w:r>
    </w:p>
    <w:p w14:paraId="75B30E3A"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3.现场核查。评审专家实地查看生产经营场所，核对事故风险辨识评估报告和应急资源调查清单内容是否属实。专家应将核查情况向生产经营单位反馈，指导督促其完善有关内容。现场核查的情况应在评审书面纪要中体现。</w:t>
      </w:r>
    </w:p>
    <w:p w14:paraId="7135C5B2"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4.会议评审。评审会由生产经营单位主要负责人或者分管安全生产工作的负责人主持，其他分管负责人、部门负责人、重点岗位人员和一定数量的专家参加。应急预案的具体编制人在会上应当对风险辨识评估情况、应急资源调查情况、职责分工、应急处置程序和措施等主要内容进行介绍，并听取参会人员意见。生产经营单位应当安排专人记录会议内容，形成书面的评审纪要，并由参会者签名确认。</w:t>
      </w:r>
    </w:p>
    <w:p w14:paraId="36EE3CF8"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5.修订完善。生产经营单位应当认真分析研究评审意见，按照有关修改意见对应急预案进行修订和完善。评审结论“不通过”</w:t>
      </w:r>
      <w:r>
        <w:rPr>
          <w:rFonts w:ascii="仿宋_GB2312" w:hAnsi="仿宋_GB2312" w:cs="仿宋_GB2312" w:hint="eastAsia"/>
          <w:sz w:val="32"/>
          <w:szCs w:val="32"/>
          <w:shd w:val="clear" w:color="auto" w:fill="FFFFFF"/>
          <w:lang w:bidi="ar"/>
        </w:rPr>
        <w:lastRenderedPageBreak/>
        <w:t>的，经修订完善后应当组织相同的评审专家对应急预案重新进行评审，直至评审结论“通过”或者“修改后通过”。</w:t>
      </w:r>
    </w:p>
    <w:p w14:paraId="6CA5C0F2"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6.印发公布。应急预案经评审通过且后续完善工作完成后，由本单位主要负责人签署，向本单位从业人员公布。事故风险可能影响周边其他单位、人员的，还应当将有关事故风险的性质、影响范围和应急防范措施告知周边的其他单位和人员。</w:t>
      </w:r>
    </w:p>
    <w:p w14:paraId="2DE7EF5D" w14:textId="77777777" w:rsidR="00E17DD4" w:rsidRDefault="00000000">
      <w:pPr>
        <w:pStyle w:val="ad"/>
        <w:shd w:val="clear" w:color="auto" w:fill="FFFFFF"/>
        <w:snapToGrid w:val="0"/>
        <w:spacing w:before="0" w:beforeAutospacing="0" w:after="0" w:afterAutospacing="0" w:line="540" w:lineRule="exact"/>
        <w:ind w:firstLineChars="200" w:firstLine="632"/>
        <w:jc w:val="both"/>
        <w:outlineLvl w:val="2"/>
        <w:rPr>
          <w:rFonts w:ascii="楷体_GB2312" w:eastAsia="楷体_GB2312" w:hAnsi="楷体_GB2312" w:cs="楷体_GB2312"/>
          <w:sz w:val="32"/>
          <w:szCs w:val="32"/>
          <w:shd w:val="clear" w:color="auto" w:fill="FFFFFF"/>
          <w:lang w:bidi="ar"/>
        </w:rPr>
      </w:pPr>
      <w:r>
        <w:rPr>
          <w:rFonts w:ascii="楷体_GB2312" w:eastAsia="楷体_GB2312" w:hAnsi="楷体_GB2312" w:cs="楷体_GB2312" w:hint="eastAsia"/>
          <w:sz w:val="32"/>
          <w:szCs w:val="32"/>
          <w:shd w:val="clear" w:color="auto" w:fill="FFFFFF"/>
          <w:lang w:bidi="ar"/>
        </w:rPr>
        <w:t>（四）评审要点</w:t>
      </w:r>
    </w:p>
    <w:p w14:paraId="35D6888B"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应急预案评审应当注重以下几个要点：</w:t>
      </w:r>
    </w:p>
    <w:p w14:paraId="02411A76"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1.完整性。具备应急预案要素评审表中明确的各类应急预案的基本要素。</w:t>
      </w:r>
    </w:p>
    <w:p w14:paraId="16A0CBCE"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2.合理性。应急组织机构和人员的职责分工明确，并与生产经营单位的工作实际相适应。</w:t>
      </w:r>
    </w:p>
    <w:p w14:paraId="31B75463"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3.针对性。应急响应和处置的程序及措施、应急保障措施、注意事项等内容，紧密结合事故风险辨识评估结果。</w:t>
      </w:r>
    </w:p>
    <w:p w14:paraId="612D2D6F"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4.可行性。应急处置和保障措施等内容与应急资源调查结果相适应，并切实可行。</w:t>
      </w:r>
    </w:p>
    <w:p w14:paraId="1D34E281"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5.衔接性。与政府及其部门、应急救援队伍和涉及的其他生产经营单位的应急预案相衔接。</w:t>
      </w:r>
    </w:p>
    <w:p w14:paraId="10E226EA" w14:textId="77777777" w:rsidR="00E17DD4" w:rsidRDefault="00000000">
      <w:pPr>
        <w:pStyle w:val="ad"/>
        <w:shd w:val="clear" w:color="auto" w:fill="FFFFFF"/>
        <w:snapToGrid w:val="0"/>
        <w:spacing w:before="0" w:beforeAutospacing="0" w:after="0" w:afterAutospacing="0" w:line="540" w:lineRule="exact"/>
        <w:ind w:firstLineChars="200" w:firstLine="632"/>
        <w:jc w:val="both"/>
        <w:outlineLvl w:val="2"/>
        <w:rPr>
          <w:rFonts w:ascii="楷体_GB2312" w:eastAsia="楷体_GB2312" w:hAnsi="楷体_GB2312" w:cs="楷体_GB2312"/>
          <w:sz w:val="32"/>
          <w:szCs w:val="32"/>
          <w:shd w:val="clear" w:color="auto" w:fill="FFFFFF"/>
          <w:lang w:bidi="ar"/>
        </w:rPr>
      </w:pPr>
      <w:r>
        <w:rPr>
          <w:rFonts w:ascii="楷体_GB2312" w:eastAsia="楷体_GB2312" w:hAnsi="楷体_GB2312" w:cs="楷体_GB2312" w:hint="eastAsia"/>
          <w:sz w:val="32"/>
          <w:szCs w:val="32"/>
          <w:shd w:val="clear" w:color="auto" w:fill="FFFFFF"/>
          <w:lang w:bidi="ar"/>
        </w:rPr>
        <w:t>（五）评审文件归档要求</w:t>
      </w:r>
    </w:p>
    <w:p w14:paraId="4EFB8D63"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生产经营单位应当对应急预案评审资料进行留存，专项归档，供有关部门监督检查。归档资料应当包括以下内容：</w:t>
      </w:r>
    </w:p>
    <w:p w14:paraId="236BF984"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1.应急预案要素评审表(每页应有评审专家签名)。</w:t>
      </w:r>
    </w:p>
    <w:p w14:paraId="004FFBAC"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2.评审</w:t>
      </w:r>
      <w:proofErr w:type="gramStart"/>
      <w:r>
        <w:rPr>
          <w:rFonts w:ascii="仿宋_GB2312" w:hAnsi="仿宋_GB2312" w:cs="仿宋_GB2312" w:hint="eastAsia"/>
          <w:sz w:val="32"/>
          <w:szCs w:val="32"/>
          <w:shd w:val="clear" w:color="auto" w:fill="FFFFFF"/>
          <w:lang w:bidi="ar"/>
        </w:rPr>
        <w:t>书面会议</w:t>
      </w:r>
      <w:proofErr w:type="gramEnd"/>
      <w:r>
        <w:rPr>
          <w:rFonts w:ascii="仿宋_GB2312" w:hAnsi="仿宋_GB2312" w:cs="仿宋_GB2312" w:hint="eastAsia"/>
          <w:sz w:val="32"/>
          <w:szCs w:val="32"/>
          <w:shd w:val="clear" w:color="auto" w:fill="FFFFFF"/>
          <w:lang w:bidi="ar"/>
        </w:rPr>
        <w:t>纪要（含应急预案编制说明、评审专家资料）。</w:t>
      </w:r>
    </w:p>
    <w:p w14:paraId="1776AA3D"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lastRenderedPageBreak/>
        <w:t>3.专家现场核查照片和评审会议照片。</w:t>
      </w:r>
    </w:p>
    <w:p w14:paraId="3E6D94D8" w14:textId="77777777" w:rsidR="00E17DD4" w:rsidRDefault="00000000">
      <w:pPr>
        <w:pStyle w:val="ad"/>
        <w:shd w:val="clear" w:color="auto" w:fill="FFFFFF"/>
        <w:snapToGrid w:val="0"/>
        <w:spacing w:before="0" w:beforeAutospacing="0" w:after="0" w:afterAutospacing="0" w:line="540" w:lineRule="exact"/>
        <w:ind w:firstLineChars="200" w:firstLine="632"/>
        <w:jc w:val="both"/>
        <w:outlineLvl w:val="1"/>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三、应急预案的备案</w:t>
      </w:r>
    </w:p>
    <w:p w14:paraId="0CF3EA89" w14:textId="77777777" w:rsidR="00E17DD4" w:rsidRDefault="00000000">
      <w:pPr>
        <w:pStyle w:val="ad"/>
        <w:shd w:val="clear" w:color="auto" w:fill="FFFFFF"/>
        <w:snapToGrid w:val="0"/>
        <w:spacing w:before="0" w:beforeAutospacing="0" w:after="0" w:afterAutospacing="0" w:line="540" w:lineRule="exact"/>
        <w:ind w:firstLineChars="200" w:firstLine="632"/>
        <w:jc w:val="both"/>
        <w:outlineLvl w:val="2"/>
        <w:rPr>
          <w:rFonts w:ascii="黑体" w:eastAsia="黑体" w:hAnsi="黑体" w:cs="黑体"/>
          <w:sz w:val="32"/>
          <w:szCs w:val="32"/>
          <w:shd w:val="clear" w:color="auto" w:fill="FFFFFF"/>
          <w:lang w:bidi="ar"/>
        </w:rPr>
      </w:pPr>
      <w:r>
        <w:rPr>
          <w:rFonts w:ascii="楷体_GB2312" w:eastAsia="楷体_GB2312" w:hAnsi="楷体_GB2312" w:cs="楷体_GB2312" w:hint="eastAsia"/>
          <w:sz w:val="32"/>
          <w:szCs w:val="32"/>
          <w:shd w:val="clear" w:color="auto" w:fill="FFFFFF"/>
          <w:lang w:bidi="ar"/>
        </w:rPr>
        <w:t>（一）涉及的生产经营单位范围（八类）</w:t>
      </w:r>
    </w:p>
    <w:p w14:paraId="04793B14"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1.易燃易爆物品、危险化学品等危险物品的生产、经营、储存、运输企业;</w:t>
      </w:r>
    </w:p>
    <w:p w14:paraId="39DC0F4F"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2.使用危险化学品达到国家规定数量的化工企业;</w:t>
      </w:r>
    </w:p>
    <w:p w14:paraId="4A442782"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3.烟花爆竹批发经营企业;</w:t>
      </w:r>
    </w:p>
    <w:p w14:paraId="33AC8FF4"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4.非煤矿山企业;</w:t>
      </w:r>
    </w:p>
    <w:p w14:paraId="7E1B426D"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5.金属冶炼企业;</w:t>
      </w:r>
    </w:p>
    <w:p w14:paraId="76D0580A"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6.城市轨道交通运营企业;</w:t>
      </w:r>
    </w:p>
    <w:p w14:paraId="31CE6EFF"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7.建筑施工企业;</w:t>
      </w:r>
    </w:p>
    <w:p w14:paraId="5784EDC0"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8.宾馆、商场、娱乐场所、旅游景区等人员密集场所经营企业。</w:t>
      </w:r>
    </w:p>
    <w:p w14:paraId="21A1B2AC" w14:textId="77777777" w:rsidR="00E17DD4" w:rsidRDefault="00000000">
      <w:pPr>
        <w:pStyle w:val="ad"/>
        <w:shd w:val="clear" w:color="auto" w:fill="FFFFFF"/>
        <w:snapToGrid w:val="0"/>
        <w:spacing w:before="0" w:beforeAutospacing="0" w:after="0" w:afterAutospacing="0" w:line="540" w:lineRule="exact"/>
        <w:ind w:firstLineChars="200" w:firstLine="632"/>
        <w:jc w:val="both"/>
        <w:outlineLvl w:val="2"/>
        <w:rPr>
          <w:rFonts w:ascii="黑体" w:eastAsia="黑体" w:hAnsi="黑体" w:cs="黑体"/>
          <w:sz w:val="32"/>
          <w:szCs w:val="32"/>
          <w:shd w:val="clear" w:color="auto" w:fill="FFFFFF"/>
        </w:rPr>
      </w:pPr>
      <w:r>
        <w:rPr>
          <w:rFonts w:ascii="楷体_GB2312" w:eastAsia="楷体_GB2312" w:hAnsi="楷体_GB2312" w:cs="楷体_GB2312" w:hint="eastAsia"/>
          <w:sz w:val="32"/>
          <w:szCs w:val="32"/>
          <w:shd w:val="clear" w:color="auto" w:fill="FFFFFF"/>
          <w:lang w:bidi="ar"/>
        </w:rPr>
        <w:t>（二）备案受理单位</w:t>
      </w:r>
    </w:p>
    <w:p w14:paraId="535034BE"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1.应急管理部门。</w:t>
      </w:r>
    </w:p>
    <w:p w14:paraId="47044912"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（1）市应急管理部门负责统筹指导应急预案的备案受理及登记工作。</w:t>
      </w:r>
    </w:p>
    <w:p w14:paraId="0A740E89"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（2）各区（新区、深</w:t>
      </w:r>
      <w:proofErr w:type="gramStart"/>
      <w:r>
        <w:rPr>
          <w:rFonts w:ascii="仿宋_GB2312" w:hAnsi="仿宋_GB2312" w:cs="仿宋_GB2312" w:hint="eastAsia"/>
          <w:sz w:val="32"/>
          <w:szCs w:val="32"/>
          <w:shd w:val="clear" w:color="auto" w:fill="FFFFFF"/>
        </w:rPr>
        <w:t>汕</w:t>
      </w:r>
      <w:proofErr w:type="gramEnd"/>
      <w:r>
        <w:rPr>
          <w:rFonts w:ascii="仿宋_GB2312" w:hAnsi="仿宋_GB2312" w:cs="仿宋_GB2312" w:hint="eastAsia"/>
          <w:sz w:val="32"/>
          <w:szCs w:val="32"/>
          <w:shd w:val="clear" w:color="auto" w:fill="FFFFFF"/>
        </w:rPr>
        <w:t>特别合作区，下同）应急管理部门负责辖区非煤矿山企业、金属冶炼企业，危险化学品生产、经营、储存、运输企业（城市燃气，储存、装卸危险化学品的港口经营企业、石油天然气输送管道运营单位除外），以及使用危险化学品达到国家规定数量的化工企业、烟花爆竹批发经营企业和商贸</w:t>
      </w:r>
      <w:r>
        <w:rPr>
          <w:rFonts w:ascii="仿宋_GB2312" w:hAnsi="仿宋_GB2312" w:cs="仿宋_GB2312" w:hint="eastAsia"/>
          <w:sz w:val="32"/>
          <w:szCs w:val="32"/>
          <w:shd w:val="clear" w:color="auto" w:fill="FFFFFF"/>
        </w:rPr>
        <w:lastRenderedPageBreak/>
        <w:t>行业（含商场）人员密集场所经营企业应急预案的备案受理及登记工作。</w:t>
      </w:r>
    </w:p>
    <w:p w14:paraId="215E4CD4"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b/>
          <w:bCs/>
          <w:sz w:val="32"/>
          <w:szCs w:val="32"/>
          <w:shd w:val="clear" w:color="auto" w:fill="FFFFFF"/>
        </w:rPr>
      </w:pPr>
      <w:r>
        <w:rPr>
          <w:rFonts w:ascii="仿宋_GB2312" w:hAnsi="仿宋_GB2312" w:cs="仿宋_GB2312" w:hint="eastAsia"/>
          <w:sz w:val="32"/>
          <w:szCs w:val="32"/>
          <w:shd w:val="clear" w:color="auto" w:fill="FFFFFF"/>
        </w:rPr>
        <w:t>2.其他负有安全生产监督管理职责的部门。</w:t>
      </w:r>
    </w:p>
    <w:p w14:paraId="39B61731"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（1）工业和信息化部门负责民用爆炸物品生产、销售企业的应急预案备案受理及登记工作。</w:t>
      </w:r>
    </w:p>
    <w:p w14:paraId="19A472CB"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（2）交通运输部门负责储存、装卸危险货物的港口经营企业及城市轨道交通运营企业的应急预案备案受理及登记工作。</w:t>
      </w:r>
    </w:p>
    <w:p w14:paraId="54D48DDE"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（3）住房建设部门负责建筑施工、燃气经营企业的应急预案备案受理及登记工作。</w:t>
      </w:r>
    </w:p>
    <w:p w14:paraId="7953595C"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（4）文化广电旅游体育部门负责职责范围内的星级酒店、A级旅游景区、娱乐场所等人员密集场所经营企业的应急预案备案受理及登记工作。</w:t>
      </w:r>
    </w:p>
    <w:p w14:paraId="0D9804DA"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5）对于易燃易爆物品的生产、经营、储存、运输企业，相关行业、领域主管部门按照“管行业必须管安全，管业务必须管安全，管生产经营必须管安全”的责任体系要求，负责本行业、本领域生产经营单位的应急预案备案受理及登记工作。</w:t>
      </w:r>
    </w:p>
    <w:p w14:paraId="1BFEDE5D"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市政务服务数据部门负责协调省政务数据服务部门，为负有应急预案备案职责的市级部门在省政务服务网开通账号并指导开展电子证照相关业务。</w:t>
      </w:r>
    </w:p>
    <w:p w14:paraId="1BA54DFC" w14:textId="77777777" w:rsidR="00E17DD4" w:rsidRDefault="00000000">
      <w:pPr>
        <w:pStyle w:val="ad"/>
        <w:shd w:val="clear" w:color="auto" w:fill="FFFFFF"/>
        <w:snapToGrid w:val="0"/>
        <w:spacing w:before="0" w:beforeAutospacing="0" w:after="0" w:afterAutospacing="0" w:line="540" w:lineRule="exact"/>
        <w:ind w:firstLineChars="200" w:firstLine="632"/>
        <w:jc w:val="both"/>
        <w:outlineLvl w:val="2"/>
        <w:rPr>
          <w:rFonts w:ascii="黑体" w:eastAsia="黑体" w:hAnsi="黑体" w:cs="黑体"/>
          <w:sz w:val="32"/>
          <w:szCs w:val="32"/>
          <w:shd w:val="clear" w:color="auto" w:fill="FFFFFF"/>
          <w:lang w:bidi="ar"/>
        </w:rPr>
      </w:pPr>
      <w:r>
        <w:rPr>
          <w:rFonts w:ascii="楷体_GB2312" w:eastAsia="楷体_GB2312" w:hAnsi="楷体_GB2312" w:cs="楷体_GB2312" w:hint="eastAsia"/>
          <w:sz w:val="32"/>
          <w:szCs w:val="32"/>
          <w:shd w:val="clear" w:color="auto" w:fill="FFFFFF"/>
          <w:lang w:bidi="ar"/>
        </w:rPr>
        <w:t>（三）备案申报材料</w:t>
      </w:r>
    </w:p>
    <w:p w14:paraId="2FAD78DE"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1.应急预案备案申报表。</w:t>
      </w:r>
    </w:p>
    <w:p w14:paraId="2D029898"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2.本通知所列的应评审的六类生产经营单位应急预案，应当提供应急预案评审书面纪要。</w:t>
      </w:r>
    </w:p>
    <w:p w14:paraId="57A4BEAF" w14:textId="77777777" w:rsidR="00E17DD4" w:rsidRDefault="00000000">
      <w:pPr>
        <w:pStyle w:val="ad"/>
        <w:shd w:val="clear" w:color="auto" w:fill="FFFFFF"/>
        <w:snapToGrid w:val="0"/>
        <w:spacing w:before="0" w:beforeAutospacing="0" w:after="0" w:afterAutospacing="0" w:line="540" w:lineRule="exact"/>
        <w:ind w:left="640"/>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lastRenderedPageBreak/>
        <w:t>3.应急预案电子文档。</w:t>
      </w:r>
    </w:p>
    <w:p w14:paraId="663413A4" w14:textId="77777777" w:rsidR="00E17DD4" w:rsidRDefault="00000000">
      <w:pPr>
        <w:pStyle w:val="ad"/>
        <w:shd w:val="clear" w:color="auto" w:fill="FFFFFF"/>
        <w:snapToGrid w:val="0"/>
        <w:spacing w:before="0" w:beforeAutospacing="0" w:after="0" w:afterAutospacing="0" w:line="540" w:lineRule="exact"/>
        <w:ind w:left="640"/>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4.事故风险辨识评估结果和应急资源调查清单。</w:t>
      </w:r>
    </w:p>
    <w:p w14:paraId="76E27322" w14:textId="77777777" w:rsidR="00E17DD4" w:rsidRDefault="00000000">
      <w:pPr>
        <w:pStyle w:val="ad"/>
        <w:shd w:val="clear" w:color="auto" w:fill="FFFFFF"/>
        <w:snapToGrid w:val="0"/>
        <w:spacing w:before="0" w:beforeAutospacing="0" w:after="0" w:afterAutospacing="0" w:line="540" w:lineRule="exact"/>
        <w:ind w:firstLine="62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（1）事故风险辨识评估结果应包括以下要素：</w:t>
      </w:r>
      <w:proofErr w:type="gramStart"/>
      <w:r>
        <w:rPr>
          <w:rFonts w:ascii="仿宋_GB2312" w:hAnsi="仿宋_GB2312" w:cs="仿宋_GB2312" w:hint="eastAsia"/>
          <w:sz w:val="32"/>
          <w:szCs w:val="32"/>
          <w:shd w:val="clear" w:color="auto" w:fill="FFFFFF"/>
        </w:rPr>
        <w:t>危险危害</w:t>
      </w:r>
      <w:proofErr w:type="gramEnd"/>
      <w:r>
        <w:rPr>
          <w:rFonts w:ascii="仿宋_GB2312" w:hAnsi="仿宋_GB2312" w:cs="仿宋_GB2312" w:hint="eastAsia"/>
          <w:sz w:val="32"/>
          <w:szCs w:val="32"/>
          <w:shd w:val="clear" w:color="auto" w:fill="FFFFFF"/>
        </w:rPr>
        <w:t>因素，事故发生的可能性、产生的直接后果及次生、衍生后果，</w:t>
      </w:r>
      <w:r>
        <w:rPr>
          <w:rFonts w:ascii="仿宋_GB2312" w:hAnsi="仿宋_GB2312" w:cs="仿宋_GB2312" w:hint="eastAsia"/>
          <w:sz w:val="32"/>
          <w:szCs w:val="32"/>
          <w:shd w:val="clear" w:color="auto" w:fill="FFFFFF"/>
          <w:lang w:bidi="ar"/>
        </w:rPr>
        <w:t>各种后果的危害程度和影响范围，事故风险的类别及风险等级，防范和控制事故风险的措施，应急预案体系建设的计划建议。</w:t>
      </w:r>
    </w:p>
    <w:p w14:paraId="6867E984"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rPr>
        <w:t>（2）应急资源调查清单应包括以下要素：本单位内部第一时间可以调用的应急资源状况、功能完善程度、</w:t>
      </w:r>
      <w:proofErr w:type="gramStart"/>
      <w:r>
        <w:rPr>
          <w:rFonts w:ascii="仿宋_GB2312" w:hAnsi="仿宋_GB2312" w:cs="仿宋_GB2312" w:hint="eastAsia"/>
          <w:sz w:val="32"/>
          <w:szCs w:val="32"/>
          <w:shd w:val="clear" w:color="auto" w:fill="FFFFFF"/>
        </w:rPr>
        <w:t>受可能</w:t>
      </w:r>
      <w:proofErr w:type="gramEnd"/>
      <w:r>
        <w:rPr>
          <w:rFonts w:ascii="仿宋_GB2312" w:hAnsi="仿宋_GB2312" w:cs="仿宋_GB2312" w:hint="eastAsia"/>
          <w:sz w:val="32"/>
          <w:szCs w:val="32"/>
          <w:shd w:val="clear" w:color="auto" w:fill="FFFFFF"/>
        </w:rPr>
        <w:t>发生的事故的影响程度，单位外部（合作区域内）可以请求援助的应急资源状况，应急资源需求单位内外部应急资源差距分析，应急资源补充建议。</w:t>
      </w:r>
    </w:p>
    <w:p w14:paraId="75766B0E" w14:textId="77777777" w:rsidR="00E17DD4" w:rsidRDefault="00000000">
      <w:pPr>
        <w:pStyle w:val="ad"/>
        <w:shd w:val="clear" w:color="auto" w:fill="FFFFFF"/>
        <w:snapToGrid w:val="0"/>
        <w:spacing w:before="0" w:beforeAutospacing="0" w:after="0" w:afterAutospacing="0" w:line="540" w:lineRule="exact"/>
        <w:ind w:firstLineChars="200" w:firstLine="632"/>
        <w:jc w:val="both"/>
        <w:outlineLvl w:val="2"/>
        <w:rPr>
          <w:rFonts w:ascii="黑体" w:eastAsia="黑体" w:hAnsi="黑体" w:cs="黑体"/>
          <w:sz w:val="32"/>
          <w:szCs w:val="32"/>
          <w:shd w:val="clear" w:color="auto" w:fill="FFFFFF"/>
          <w:lang w:bidi="ar"/>
        </w:rPr>
      </w:pPr>
      <w:r>
        <w:rPr>
          <w:rFonts w:ascii="楷体_GB2312" w:eastAsia="楷体_GB2312" w:hAnsi="楷体_GB2312" w:cs="楷体_GB2312" w:hint="eastAsia"/>
          <w:sz w:val="32"/>
          <w:szCs w:val="32"/>
          <w:shd w:val="clear" w:color="auto" w:fill="FFFFFF"/>
          <w:lang w:bidi="ar"/>
        </w:rPr>
        <w:t>（四）备案登记</w:t>
      </w:r>
    </w:p>
    <w:p w14:paraId="5AF5ECD3"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1.备案申报。生产经营单位应当在应急预案公布之日起20个工作日内，按照分级属地原则，通过网上办理的方式，向负有安全生产监督管理职责的部门提出备案申请。</w:t>
      </w:r>
    </w:p>
    <w:p w14:paraId="278B347E"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2.受理核对。备案受理单位应当在5个工作日内对应急预案材料进行核对，</w:t>
      </w:r>
      <w:r>
        <w:rPr>
          <w:rFonts w:ascii="仿宋_GB2312" w:hAnsi="仿宋_GB2312" w:cs="仿宋_GB2312" w:hint="eastAsia"/>
          <w:sz w:val="32"/>
          <w:szCs w:val="32"/>
          <w:shd w:val="clear" w:color="auto" w:fill="FFFFFF"/>
          <w:lang w:bidi="ar"/>
        </w:rPr>
        <w:t>评审结论“通过”或者“修改后通过”</w:t>
      </w:r>
      <w:r>
        <w:rPr>
          <w:rFonts w:ascii="仿宋_GB2312" w:hAnsi="仿宋_GB2312" w:cs="仿宋_GB2312" w:hint="eastAsia"/>
          <w:sz w:val="32"/>
          <w:szCs w:val="32"/>
          <w:shd w:val="clear" w:color="auto" w:fill="FFFFFF"/>
        </w:rPr>
        <w:t>、且备案材料齐全的，应当出具应急预案备案登记表。材料不齐的，不予备案并一次性告知需要补充的材料。逾期不予备案又不说明理由的，视为已经备案，并应及时补充出具应急预案备案登记表。</w:t>
      </w:r>
    </w:p>
    <w:p w14:paraId="22699773"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3.备案报送。生产经营单位在向相关备案受理单位申报备案完成后，应将应急预案报送同级应急管理部门。石油输送管道运营单位、天然气输送管道运营单位还应将应急预案抄送所经区应</w:t>
      </w:r>
      <w:r>
        <w:rPr>
          <w:rFonts w:ascii="仿宋_GB2312" w:hAnsi="仿宋_GB2312" w:cs="仿宋_GB2312" w:hint="eastAsia"/>
          <w:sz w:val="32"/>
          <w:szCs w:val="32"/>
          <w:shd w:val="clear" w:color="auto" w:fill="FFFFFF"/>
        </w:rPr>
        <w:lastRenderedPageBreak/>
        <w:t>急管理部门；海洋石油开采单位应将应急预案抄送所经区应急管理部门和</w:t>
      </w:r>
      <w:r>
        <w:rPr>
          <w:rFonts w:ascii="仿宋_GB2312" w:hAnsi="仿宋_GB2312" w:cs="仿宋_GB2312" w:hint="eastAsia"/>
          <w:sz w:val="32"/>
          <w:szCs w:val="32"/>
          <w:shd w:val="clear" w:color="auto" w:fill="FFFFFF"/>
          <w:lang w:bidi="ar"/>
        </w:rPr>
        <w:t>海洋石油安全监管机构</w:t>
      </w:r>
      <w:r>
        <w:rPr>
          <w:rFonts w:ascii="仿宋_GB2312" w:hAnsi="仿宋_GB2312" w:cs="仿宋_GB2312" w:hint="eastAsia"/>
          <w:sz w:val="32"/>
          <w:szCs w:val="32"/>
          <w:shd w:val="clear" w:color="auto" w:fill="FFFFFF"/>
        </w:rPr>
        <w:t>。</w:t>
      </w:r>
    </w:p>
    <w:p w14:paraId="47E3C9CE" w14:textId="77777777" w:rsidR="00E17DD4" w:rsidRDefault="00000000">
      <w:pPr>
        <w:pStyle w:val="ad"/>
        <w:shd w:val="clear" w:color="auto" w:fill="FFFFFF"/>
        <w:snapToGrid w:val="0"/>
        <w:spacing w:before="0" w:beforeAutospacing="0" w:after="0" w:afterAutospacing="0" w:line="540" w:lineRule="exact"/>
        <w:ind w:firstLineChars="200" w:firstLine="632"/>
        <w:jc w:val="both"/>
        <w:outlineLvl w:val="2"/>
        <w:rPr>
          <w:rFonts w:ascii="黑体" w:eastAsia="黑体" w:hAnsi="黑体" w:cs="黑体"/>
          <w:sz w:val="32"/>
          <w:szCs w:val="32"/>
          <w:shd w:val="clear" w:color="auto" w:fill="FFFFFF"/>
          <w:lang w:bidi="ar"/>
        </w:rPr>
      </w:pPr>
      <w:r>
        <w:rPr>
          <w:rFonts w:ascii="楷体_GB2312" w:eastAsia="楷体_GB2312" w:hAnsi="楷体_GB2312" w:cs="楷体_GB2312" w:hint="eastAsia"/>
          <w:sz w:val="32"/>
          <w:szCs w:val="32"/>
          <w:shd w:val="clear" w:color="auto" w:fill="FFFFFF"/>
          <w:lang w:bidi="ar"/>
        </w:rPr>
        <w:t>（五）重新备案</w:t>
      </w:r>
    </w:p>
    <w:p w14:paraId="08C1B211" w14:textId="77777777" w:rsidR="00E17DD4" w:rsidRDefault="00000000">
      <w:pPr>
        <w:pStyle w:val="ad"/>
        <w:shd w:val="clear" w:color="auto" w:fill="FFFFFF"/>
        <w:snapToGrid w:val="0"/>
        <w:spacing w:before="0" w:beforeAutospacing="0" w:after="0" w:afterAutospacing="0" w:line="54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应急预案修订涉及组织指挥体系与职责、应急处置程序、主要处置措施、应急响应分级等内容变更的，修订工作应当按照应急预案编制程序进行，并按照上述备案程序重新备案。</w:t>
      </w:r>
    </w:p>
    <w:p w14:paraId="09D8DB92" w14:textId="77777777" w:rsidR="00E17DD4" w:rsidRDefault="00000000">
      <w:pPr>
        <w:pStyle w:val="ad"/>
        <w:shd w:val="clear" w:color="auto" w:fill="FFFFFF"/>
        <w:snapToGrid w:val="0"/>
        <w:spacing w:before="0" w:beforeAutospacing="0" w:after="0" w:afterAutospacing="0" w:line="540" w:lineRule="exact"/>
        <w:ind w:firstLineChars="200" w:firstLine="632"/>
        <w:jc w:val="both"/>
        <w:outlineLvl w:val="2"/>
        <w:rPr>
          <w:rFonts w:ascii="黑体" w:eastAsia="黑体" w:hAnsi="黑体" w:cs="黑体"/>
          <w:sz w:val="32"/>
          <w:szCs w:val="32"/>
          <w:shd w:val="clear" w:color="auto" w:fill="FFFFFF"/>
          <w:lang w:bidi="ar"/>
        </w:rPr>
      </w:pPr>
      <w:r>
        <w:rPr>
          <w:rFonts w:ascii="楷体_GB2312" w:eastAsia="楷体_GB2312" w:hAnsi="楷体_GB2312" w:cs="楷体_GB2312" w:hint="eastAsia"/>
          <w:sz w:val="32"/>
          <w:szCs w:val="32"/>
          <w:shd w:val="clear" w:color="auto" w:fill="FFFFFF"/>
          <w:lang w:bidi="ar"/>
        </w:rPr>
        <w:t>（六）不予受理的情形</w:t>
      </w:r>
    </w:p>
    <w:p w14:paraId="5F6C15A7" w14:textId="77777777" w:rsidR="00E17DD4" w:rsidRDefault="00000000">
      <w:pPr>
        <w:pStyle w:val="ad"/>
        <w:autoSpaceDE w:val="0"/>
        <w:snapToGrid w:val="0"/>
        <w:spacing w:before="0" w:beforeAutospacing="0" w:after="0" w:afterAutospacing="0" w:line="540" w:lineRule="exact"/>
        <w:ind w:firstLineChars="200" w:firstLine="632"/>
        <w:jc w:val="both"/>
        <w:rPr>
          <w:rFonts w:ascii="仿宋_GB2312" w:hAnsi="仿宋_GB2312" w:cs="仿宋_GB2312"/>
          <w:sz w:val="32"/>
          <w:szCs w:val="32"/>
        </w:rPr>
      </w:pPr>
      <w:r>
        <w:rPr>
          <w:rFonts w:ascii="仿宋_GB2312" w:hAnsi="仿宋_GB2312" w:cs="仿宋_GB2312" w:hint="eastAsia"/>
          <w:sz w:val="32"/>
          <w:szCs w:val="32"/>
        </w:rPr>
        <w:t>1.不属于本市行政机关受理业务范围的;</w:t>
      </w:r>
    </w:p>
    <w:p w14:paraId="5087888D" w14:textId="77777777" w:rsidR="00E17DD4" w:rsidRDefault="00000000">
      <w:pPr>
        <w:pStyle w:val="ad"/>
        <w:autoSpaceDE w:val="0"/>
        <w:snapToGrid w:val="0"/>
        <w:spacing w:before="0" w:beforeAutospacing="0" w:after="0" w:afterAutospacing="0" w:line="540" w:lineRule="exact"/>
        <w:ind w:firstLineChars="200" w:firstLine="632"/>
        <w:jc w:val="both"/>
        <w:rPr>
          <w:rFonts w:ascii="仿宋_GB2312" w:hAnsi="仿宋_GB2312" w:cs="仿宋_GB2312"/>
          <w:sz w:val="32"/>
          <w:szCs w:val="32"/>
        </w:rPr>
      </w:pPr>
      <w:r>
        <w:rPr>
          <w:rFonts w:ascii="仿宋_GB2312" w:hAnsi="仿宋_GB2312" w:cs="仿宋_GB2312" w:hint="eastAsia"/>
          <w:sz w:val="32"/>
          <w:szCs w:val="32"/>
        </w:rPr>
        <w:t>2.电子文件格式不符合要求的;</w:t>
      </w:r>
    </w:p>
    <w:p w14:paraId="7A8E5DBD" w14:textId="77777777" w:rsidR="00E17DD4" w:rsidRDefault="00000000">
      <w:pPr>
        <w:pStyle w:val="ad"/>
        <w:autoSpaceDE w:val="0"/>
        <w:snapToGrid w:val="0"/>
        <w:spacing w:before="0" w:beforeAutospacing="0" w:after="0" w:afterAutospacing="0" w:line="540" w:lineRule="exact"/>
        <w:ind w:firstLineChars="200" w:firstLine="632"/>
        <w:jc w:val="both"/>
        <w:rPr>
          <w:rFonts w:ascii="仿宋_GB2312" w:hAnsi="仿宋_GB2312" w:cs="仿宋_GB2312"/>
          <w:sz w:val="32"/>
          <w:szCs w:val="32"/>
        </w:rPr>
      </w:pPr>
      <w:r>
        <w:rPr>
          <w:rFonts w:ascii="仿宋_GB2312" w:hAnsi="仿宋_GB2312" w:cs="仿宋_GB2312" w:hint="eastAsia"/>
          <w:sz w:val="32"/>
          <w:szCs w:val="32"/>
        </w:rPr>
        <w:t>3.材料不齐全的，如申请材料缺项、缺页、缺少签字盖章的;</w:t>
      </w:r>
    </w:p>
    <w:p w14:paraId="42AF17AB" w14:textId="77777777" w:rsidR="00E17DD4" w:rsidRDefault="00000000">
      <w:pPr>
        <w:pStyle w:val="ad"/>
        <w:autoSpaceDE w:val="0"/>
        <w:snapToGrid w:val="0"/>
        <w:spacing w:before="0" w:beforeAutospacing="0" w:after="0" w:afterAutospacing="0" w:line="540" w:lineRule="exact"/>
        <w:ind w:firstLineChars="200" w:firstLine="632"/>
        <w:jc w:val="both"/>
        <w:rPr>
          <w:rFonts w:ascii="仿宋_GB2312" w:hAnsi="仿宋_GB2312" w:cs="仿宋_GB2312"/>
          <w:sz w:val="32"/>
          <w:szCs w:val="32"/>
        </w:rPr>
      </w:pPr>
      <w:r>
        <w:rPr>
          <w:rFonts w:ascii="仿宋_GB2312" w:hAnsi="仿宋_GB2312" w:cs="仿宋_GB2312" w:hint="eastAsia"/>
          <w:sz w:val="32"/>
          <w:szCs w:val="32"/>
        </w:rPr>
        <w:t>4.评审书面纪要中的</w:t>
      </w:r>
      <w:r>
        <w:rPr>
          <w:rFonts w:ascii="仿宋_GB2312" w:hAnsi="仿宋_GB2312" w:cs="仿宋_GB2312" w:hint="eastAsia"/>
          <w:sz w:val="32"/>
          <w:szCs w:val="32"/>
          <w:shd w:val="clear" w:color="auto" w:fill="FFFFFF"/>
          <w:lang w:bidi="ar"/>
        </w:rPr>
        <w:t>评审结论“不通过”，或者</w:t>
      </w:r>
      <w:r>
        <w:rPr>
          <w:rFonts w:ascii="仿宋_GB2312" w:hAnsi="仿宋_GB2312" w:cs="仿宋_GB2312" w:hint="eastAsia"/>
          <w:sz w:val="32"/>
          <w:szCs w:val="32"/>
        </w:rPr>
        <w:t>生产经营单位负责人和专家签名字迹潦草，无法辨识的。</w:t>
      </w:r>
    </w:p>
    <w:p w14:paraId="522BC646" w14:textId="77777777" w:rsidR="00E17DD4" w:rsidRDefault="00000000">
      <w:pPr>
        <w:pStyle w:val="ad"/>
        <w:autoSpaceDE w:val="0"/>
        <w:snapToGrid w:val="0"/>
        <w:spacing w:before="0" w:beforeAutospacing="0" w:after="0" w:afterAutospacing="0" w:line="540" w:lineRule="exact"/>
        <w:ind w:firstLineChars="200" w:firstLine="632"/>
        <w:jc w:val="both"/>
        <w:rPr>
          <w:rFonts w:ascii="仿宋_GB2312" w:hAnsi="仿宋_GB2312" w:cs="仿宋_GB2312"/>
          <w:sz w:val="32"/>
          <w:szCs w:val="32"/>
        </w:rPr>
      </w:pPr>
      <w:r>
        <w:rPr>
          <w:rFonts w:ascii="仿宋_GB2312" w:hAnsi="仿宋_GB2312" w:cs="仿宋_GB2312" w:hint="eastAsia"/>
          <w:sz w:val="32"/>
          <w:szCs w:val="32"/>
        </w:rPr>
        <w:t>特此通知。</w:t>
      </w:r>
    </w:p>
    <w:p w14:paraId="74624C62" w14:textId="77777777" w:rsidR="00E17DD4" w:rsidRDefault="00E17DD4">
      <w:pPr>
        <w:pStyle w:val="ad"/>
        <w:autoSpaceDE w:val="0"/>
        <w:snapToGrid w:val="0"/>
        <w:spacing w:before="0" w:beforeAutospacing="0" w:after="0" w:afterAutospacing="0" w:line="540" w:lineRule="exact"/>
        <w:ind w:firstLineChars="200" w:firstLine="632"/>
        <w:jc w:val="both"/>
        <w:rPr>
          <w:rFonts w:ascii="仿宋_GB2312" w:hAnsi="仿宋_GB2312" w:cs="仿宋_GB2312"/>
          <w:sz w:val="32"/>
          <w:szCs w:val="32"/>
        </w:rPr>
      </w:pPr>
    </w:p>
    <w:p w14:paraId="7A194D73" w14:textId="77777777" w:rsidR="00E17DD4" w:rsidRDefault="00000000">
      <w:pPr>
        <w:pStyle w:val="ad"/>
        <w:autoSpaceDE w:val="0"/>
        <w:snapToGrid w:val="0"/>
        <w:spacing w:before="0" w:beforeAutospacing="0" w:after="0" w:afterAutospacing="0" w:line="540" w:lineRule="exact"/>
        <w:ind w:firstLineChars="200" w:firstLine="632"/>
        <w:jc w:val="both"/>
        <w:rPr>
          <w:rFonts w:ascii="仿宋_GB2312" w:hAnsi="仿宋_GB2312" w:cs="仿宋_GB2312"/>
          <w:sz w:val="32"/>
          <w:szCs w:val="32"/>
        </w:rPr>
      </w:pPr>
      <w:r>
        <w:rPr>
          <w:rFonts w:ascii="仿宋_GB2312" w:hAnsi="仿宋_GB2312" w:cs="仿宋_GB2312" w:hint="eastAsia"/>
          <w:sz w:val="32"/>
          <w:szCs w:val="32"/>
        </w:rPr>
        <w:t>附件：名词解释</w:t>
      </w:r>
    </w:p>
    <w:p w14:paraId="37BD2CBD" w14:textId="77777777" w:rsidR="00E17DD4" w:rsidRDefault="00000000">
      <w:pPr>
        <w:pStyle w:val="11"/>
        <w:spacing w:line="540" w:lineRule="exact"/>
        <w:ind w:firstLineChars="700" w:firstLine="2211"/>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6F6A2127" w14:textId="77777777" w:rsidR="00E17DD4" w:rsidRDefault="00E17DD4">
      <w:pPr>
        <w:pStyle w:val="11"/>
        <w:spacing w:line="540" w:lineRule="exact"/>
        <w:rPr>
          <w:rFonts w:ascii="仿宋_GB2312" w:eastAsia="仿宋_GB2312" w:hAnsi="仿宋_GB2312" w:cs="仿宋_GB2312"/>
          <w:sz w:val="32"/>
          <w:szCs w:val="32"/>
        </w:rPr>
      </w:pPr>
    </w:p>
    <w:p w14:paraId="5586D4D8" w14:textId="77777777" w:rsidR="00E17DD4" w:rsidRDefault="00000000">
      <w:pPr>
        <w:pStyle w:val="11"/>
        <w:spacing w:line="540" w:lineRule="exact"/>
        <w:ind w:right="25"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深圳市应急管理局</w:t>
      </w:r>
    </w:p>
    <w:p w14:paraId="30A05017" w14:textId="77777777" w:rsidR="00E17DD4" w:rsidRDefault="00000000">
      <w:pPr>
        <w:pStyle w:val="11"/>
        <w:spacing w:line="540" w:lineRule="exact"/>
        <w:ind w:firstLineChars="1600" w:firstLine="5054"/>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2022年11月19日</w:t>
      </w:r>
    </w:p>
    <w:p w14:paraId="112D523B" w14:textId="77777777" w:rsidR="00E17DD4" w:rsidRDefault="00000000">
      <w:pPr>
        <w:pStyle w:val="ad"/>
        <w:shd w:val="clear" w:color="auto" w:fill="FFFFFF"/>
        <w:snapToGrid w:val="0"/>
        <w:spacing w:before="0" w:beforeAutospacing="0" w:after="0" w:afterAutospacing="0" w:line="560" w:lineRule="exact"/>
        <w:jc w:val="both"/>
        <w:outlineLvl w:val="0"/>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br w:type="page"/>
      </w:r>
      <w:r>
        <w:rPr>
          <w:rFonts w:ascii="黑体" w:eastAsia="黑体" w:hAnsi="黑体" w:cs="黑体" w:hint="eastAsia"/>
          <w:sz w:val="32"/>
          <w:szCs w:val="32"/>
          <w:shd w:val="clear" w:color="auto" w:fill="FFFFFF"/>
        </w:rPr>
        <w:lastRenderedPageBreak/>
        <w:t>附件</w:t>
      </w:r>
    </w:p>
    <w:p w14:paraId="12B86D0A" w14:textId="77777777" w:rsidR="00E17DD4" w:rsidRDefault="00E17DD4">
      <w:pPr>
        <w:pStyle w:val="ad"/>
        <w:shd w:val="clear" w:color="auto" w:fill="FFFFFF"/>
        <w:snapToGrid w:val="0"/>
        <w:spacing w:before="0" w:beforeAutospacing="0" w:after="0" w:afterAutospacing="0" w:line="560" w:lineRule="exact"/>
        <w:jc w:val="both"/>
        <w:rPr>
          <w:rFonts w:ascii="仿宋_GB2312" w:hAnsi="仿宋_GB2312" w:cs="仿宋_GB2312"/>
          <w:sz w:val="32"/>
          <w:szCs w:val="32"/>
          <w:shd w:val="clear" w:color="auto" w:fill="FFFFFF"/>
        </w:rPr>
      </w:pPr>
    </w:p>
    <w:p w14:paraId="483BD6AC" w14:textId="77777777" w:rsidR="00E17DD4" w:rsidRDefault="00000000">
      <w:pPr>
        <w:pStyle w:val="ad"/>
        <w:shd w:val="clear" w:color="auto" w:fill="FFFFFF"/>
        <w:snapToGrid w:val="0"/>
        <w:spacing w:before="0" w:beforeAutospacing="0" w:after="0" w:afterAutospacing="0" w:line="560" w:lineRule="exact"/>
        <w:jc w:val="center"/>
        <w:rPr>
          <w:rFonts w:ascii="黑体" w:eastAsia="黑体" w:hAnsi="黑体" w:cs="黑体"/>
          <w:sz w:val="32"/>
          <w:szCs w:val="32"/>
          <w:shd w:val="clear" w:color="auto" w:fill="FFFFFF"/>
        </w:rPr>
      </w:pPr>
      <w:r>
        <w:rPr>
          <w:rFonts w:ascii="方正小标宋简体" w:eastAsia="方正小标宋简体" w:hAnsi="方正小标宋简体" w:cs="方正小标宋简体" w:hint="eastAsia"/>
          <w:sz w:val="44"/>
          <w:szCs w:val="44"/>
          <w:shd w:val="clear" w:color="auto" w:fill="FFFFFF"/>
        </w:rPr>
        <w:t>名词解释</w:t>
      </w:r>
    </w:p>
    <w:p w14:paraId="3AA76D9C" w14:textId="77777777" w:rsidR="00E17DD4" w:rsidRDefault="00E17DD4">
      <w:pPr>
        <w:pStyle w:val="ad"/>
        <w:shd w:val="clear" w:color="auto" w:fill="FFFFFF"/>
        <w:snapToGrid w:val="0"/>
        <w:spacing w:before="0" w:beforeAutospacing="0" w:after="0" w:afterAutospacing="0" w:line="560" w:lineRule="exact"/>
        <w:jc w:val="center"/>
        <w:rPr>
          <w:rFonts w:ascii="仿宋_GB2312" w:hAnsi="仿宋_GB2312" w:cs="仿宋_GB2312"/>
          <w:sz w:val="32"/>
          <w:szCs w:val="32"/>
          <w:shd w:val="clear" w:color="auto" w:fill="FFFFFF"/>
        </w:rPr>
      </w:pPr>
    </w:p>
    <w:p w14:paraId="4424CD71"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一、易燃易爆物品名录参考应急管理部研究中心《易燃易爆物质和物品参考名录》。</w:t>
      </w:r>
    </w:p>
    <w:p w14:paraId="52EA44BC"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二、危险货物名录参考《危险货物品名表》（GB 12268-2012）。</w:t>
      </w:r>
    </w:p>
    <w:p w14:paraId="005BD497"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三、危险化学品名录参考《危险化学品目录（2015年版）》。</w:t>
      </w:r>
    </w:p>
    <w:p w14:paraId="5DF754BC"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四、危险物品，是指易燃易爆物品、危险化学品、放射性物品等能够危及人身安全和财产安全的物品。（《中华人民共和国安全生产法》第一百一十七条）</w:t>
      </w:r>
    </w:p>
    <w:p w14:paraId="747A8CC2"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五、危险化学品使用数量标准参考《危险化学品使用量的数量标准（2013年版）》。</w:t>
      </w:r>
    </w:p>
    <w:p w14:paraId="1C76DC40" w14:textId="77777777" w:rsidR="00E17DD4" w:rsidRDefault="00000000">
      <w:pPr>
        <w:pStyle w:val="ad"/>
        <w:shd w:val="clear" w:color="auto" w:fill="FFFFFF"/>
        <w:snapToGrid w:val="0"/>
        <w:spacing w:before="0" w:beforeAutospacing="0" w:after="0" w:afterAutospacing="0" w:line="560" w:lineRule="exact"/>
        <w:ind w:firstLine="648"/>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六、娱乐场所是指以营利为目的，并向公众开放、消费者自娱自乐的歌舞、游艺等场所，主要包括歌舞厅、卡拉OK场所等各类歌舞娱乐场所和以操作游戏、游艺设备进行娱乐的各类游艺娱乐场所。（《娱乐场所管理条例》《文化部关于&lt;娱乐场所管理条例&gt;贯彻执行中若干问题的意见》（文市发〔2006〕31号)）</w:t>
      </w:r>
    </w:p>
    <w:p w14:paraId="16EC3AC6" w14:textId="77777777" w:rsidR="00E17DD4" w:rsidRDefault="00000000">
      <w:pPr>
        <w:pStyle w:val="ad"/>
        <w:shd w:val="clear" w:color="auto" w:fill="FFFFFF"/>
        <w:snapToGrid w:val="0"/>
        <w:spacing w:before="0" w:beforeAutospacing="0" w:after="0" w:afterAutospacing="0" w:line="560" w:lineRule="exact"/>
        <w:ind w:firstLine="648"/>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rPr>
        <w:t>七、</w:t>
      </w:r>
      <w:r>
        <w:rPr>
          <w:rFonts w:ascii="仿宋_GB2312" w:hAnsi="仿宋_GB2312" w:cs="仿宋_GB2312" w:hint="eastAsia"/>
          <w:sz w:val="32"/>
          <w:szCs w:val="32"/>
          <w:shd w:val="clear" w:color="auto" w:fill="FFFFFF"/>
          <w:lang w:bidi="ar"/>
        </w:rPr>
        <w:t>宾馆，是指能够以夜为时间单位向旅游客人提供配有餐饮及相关服务的住宿设施，按不同习惯它也被称为旅游饭店、酒店、旅馆、旅社、宾舍、度假村、俱乐部、大厦、中心等。其中经星级评定机构评定批复后，享有五年有效的星级及其标志使用</w:t>
      </w:r>
      <w:r>
        <w:rPr>
          <w:rFonts w:ascii="仿宋_GB2312" w:hAnsi="仿宋_GB2312" w:cs="仿宋_GB2312" w:hint="eastAsia"/>
          <w:sz w:val="32"/>
          <w:szCs w:val="32"/>
          <w:shd w:val="clear" w:color="auto" w:fill="FFFFFF"/>
          <w:lang w:bidi="ar"/>
        </w:rPr>
        <w:lastRenderedPageBreak/>
        <w:t>权或开业不足一年的饭店成功申请预备星级的宾馆，可以称为星级酒店。（参考国家标准《旅游饭店星级的划分与评定》（GB/T 14308-2010）、广东省地方标准《旅游安全管理 旅游（星级）饭店》（DB44T 711-2010））</w:t>
      </w:r>
    </w:p>
    <w:p w14:paraId="7F978841" w14:textId="77777777" w:rsidR="00E17DD4" w:rsidRDefault="00000000">
      <w:pPr>
        <w:pStyle w:val="ad"/>
        <w:shd w:val="clear" w:color="auto" w:fill="FFFFFF"/>
        <w:snapToGrid w:val="0"/>
        <w:spacing w:before="0" w:beforeAutospacing="0" w:after="0" w:afterAutospacing="0" w:line="560" w:lineRule="exact"/>
        <w:ind w:firstLine="648"/>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八、商场，即购物中心，是多种零售店铺、服务设施集中在一个建筑物内或一个区域内，向消费者提供综合性服务的商业集合体。这种商业集合体内通常包含数十个甚至数百个服务场所，业态涵盖大型综合超市、专业店、专卖店、饮食店、杂品店以及娱乐健身休闲等。（参考《购物中心等级评价标准》（T/CECS 514-2018））</w:t>
      </w:r>
    </w:p>
    <w:p w14:paraId="73532D02" w14:textId="77777777" w:rsidR="00E17DD4" w:rsidRDefault="00000000">
      <w:pPr>
        <w:pStyle w:val="ad"/>
        <w:shd w:val="clear" w:color="auto" w:fill="FFFFFF"/>
        <w:snapToGrid w:val="0"/>
        <w:spacing w:before="0" w:beforeAutospacing="0" w:after="0" w:afterAutospacing="0" w:line="560" w:lineRule="exact"/>
        <w:ind w:firstLine="648"/>
        <w:jc w:val="both"/>
        <w:rPr>
          <w:rFonts w:ascii="仿宋_GB2312" w:hAnsi="仿宋_GB2312" w:cs="仿宋_GB2312"/>
          <w:sz w:val="32"/>
          <w:szCs w:val="32"/>
          <w:shd w:val="clear" w:color="auto" w:fill="FFFFFF"/>
          <w:lang w:bidi="ar"/>
        </w:rPr>
      </w:pPr>
      <w:r>
        <w:rPr>
          <w:rFonts w:ascii="仿宋_GB2312" w:hAnsi="仿宋_GB2312" w:cs="仿宋_GB2312" w:hint="eastAsia"/>
          <w:sz w:val="32"/>
          <w:szCs w:val="32"/>
          <w:shd w:val="clear" w:color="auto" w:fill="FFFFFF"/>
          <w:lang w:bidi="ar"/>
        </w:rPr>
        <w:t>九、旅游景区，是以旅游及其相关活动为主要功能或主要功能之一的空间或地域，是指具有参观游览、休闲度假、</w:t>
      </w:r>
      <w:hyperlink r:id="rId7" w:tgtFrame="https://baike.baidu.com/item/%E6%97%85%E6%B8%B8%E6%99%AF%E5%8C%BA%E8%B4%A8%E9%87%8F%E7%AD%89%E7%BA%A7%E7%9A%84%E5%88%92%E5%88%86%E4%B8%8E%E8%AF%84%E5%AE%9A/_blank" w:history="1">
        <w:r>
          <w:rPr>
            <w:rFonts w:ascii="仿宋_GB2312" w:hAnsi="仿宋_GB2312" w:cs="仿宋_GB2312" w:hint="eastAsia"/>
            <w:sz w:val="32"/>
            <w:szCs w:val="32"/>
            <w:shd w:val="clear" w:color="auto" w:fill="FFFFFF"/>
            <w:lang w:bidi="ar"/>
          </w:rPr>
          <w:t>康乐</w:t>
        </w:r>
      </w:hyperlink>
      <w:r>
        <w:rPr>
          <w:rFonts w:ascii="仿宋_GB2312" w:hAnsi="仿宋_GB2312" w:cs="仿宋_GB2312" w:hint="eastAsia"/>
          <w:sz w:val="32"/>
          <w:szCs w:val="32"/>
          <w:shd w:val="clear" w:color="auto" w:fill="FFFFFF"/>
          <w:lang w:bidi="ar"/>
        </w:rPr>
        <w:t>健身等功能，具备相应旅游服务设施并提供相应旅游服务的独立管理区。该管理区应有统一的经营管理机构和明确的地域范围。包括风景区、文博院馆、寺庙观堂、旅游度假区、自然保护区、</w:t>
      </w:r>
      <w:hyperlink r:id="rId8" w:tgtFrame="https://baike.baidu.com/item/%E6%97%85%E6%B8%B8%E6%99%AF%E5%8C%BA%E8%B4%A8%E9%87%8F%E7%AD%89%E7%BA%A7%E7%9A%84%E5%88%92%E5%88%86%E4%B8%8E%E8%AF%84%E5%AE%9A/_blank" w:history="1">
        <w:r>
          <w:rPr>
            <w:rFonts w:ascii="仿宋_GB2312" w:hAnsi="仿宋_GB2312" w:cs="仿宋_GB2312" w:hint="eastAsia"/>
            <w:sz w:val="32"/>
            <w:szCs w:val="32"/>
            <w:shd w:val="clear" w:color="auto" w:fill="FFFFFF"/>
            <w:lang w:bidi="ar"/>
          </w:rPr>
          <w:t>主题公园</w:t>
        </w:r>
      </w:hyperlink>
      <w:r>
        <w:rPr>
          <w:rFonts w:ascii="仿宋_GB2312" w:hAnsi="仿宋_GB2312" w:cs="仿宋_GB2312" w:hint="eastAsia"/>
          <w:sz w:val="32"/>
          <w:szCs w:val="32"/>
          <w:shd w:val="clear" w:color="auto" w:fill="FFFFFF"/>
          <w:lang w:bidi="ar"/>
        </w:rPr>
        <w:t>、森林公园、</w:t>
      </w:r>
      <w:hyperlink r:id="rId9" w:tgtFrame="https://baike.baidu.com/item/%E6%97%85%E6%B8%B8%E6%99%AF%E5%8C%BA%E8%B4%A8%E9%87%8F%E7%AD%89%E7%BA%A7%E7%9A%84%E5%88%92%E5%88%86%E4%B8%8E%E8%AF%84%E5%AE%9A/_blank" w:history="1">
        <w:r>
          <w:rPr>
            <w:rFonts w:ascii="仿宋_GB2312" w:hAnsi="仿宋_GB2312" w:cs="仿宋_GB2312" w:hint="eastAsia"/>
            <w:sz w:val="32"/>
            <w:szCs w:val="32"/>
            <w:shd w:val="clear" w:color="auto" w:fill="FFFFFF"/>
            <w:lang w:bidi="ar"/>
          </w:rPr>
          <w:t>地质公园</w:t>
        </w:r>
      </w:hyperlink>
      <w:r>
        <w:rPr>
          <w:rFonts w:ascii="仿宋_GB2312" w:hAnsi="仿宋_GB2312" w:cs="仿宋_GB2312" w:hint="eastAsia"/>
          <w:sz w:val="32"/>
          <w:szCs w:val="32"/>
          <w:shd w:val="clear" w:color="auto" w:fill="FFFFFF"/>
          <w:lang w:bidi="ar"/>
        </w:rPr>
        <w:t>、游乐园、动物园、植物园及工业、农业、经贸、科教、军事、体育、文化艺术等各类旅游景区。（参考《旅游景区质量等级的划分与评定》2005版）</w:t>
      </w:r>
    </w:p>
    <w:p w14:paraId="58F28842"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十、中型规模以上（含中型规模）的生产经营企业,从业人数和营业收入要求如下（参考《中小企业划型标准规定》（工信部联企业〔2011〕300号））：</w:t>
      </w:r>
    </w:p>
    <w:p w14:paraId="6B62206B"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1.农、林、牧、渔业：营业收入500万元及以上。</w:t>
      </w:r>
    </w:p>
    <w:p w14:paraId="2E829DE9"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lastRenderedPageBreak/>
        <w:t>2.工业:从业人员300人及以上，且年营业收入2000万元及以上。</w:t>
      </w:r>
    </w:p>
    <w:p w14:paraId="63F0C2FE"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3.建筑业：营业收入6000万元及以上，且资产总额5000万元及以上。</w:t>
      </w:r>
    </w:p>
    <w:p w14:paraId="267571D4"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4.批发业：从业人员20人及以上，且营业收入5000万元及以上。</w:t>
      </w:r>
    </w:p>
    <w:p w14:paraId="029C868B"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5.零售业：从业人员50人及以上，且营业收入500万元及以上的为中型企业。</w:t>
      </w:r>
    </w:p>
    <w:p w14:paraId="49E242A2"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6.交通运输业：从业人员300人及以上，且营业收入3000万元及以上。</w:t>
      </w:r>
    </w:p>
    <w:p w14:paraId="08232D47"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7.仓储业：从业人员100人及以上，且营业收入1000万元及以上。</w:t>
      </w:r>
    </w:p>
    <w:p w14:paraId="488CC0E7"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8.邮政业：从业人员300人及以上，且营业收入2000万元及以上。</w:t>
      </w:r>
    </w:p>
    <w:p w14:paraId="5AD13C07"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9.住宿业：从业人员100人及以上，且营业收入2000万元及以上。</w:t>
      </w:r>
    </w:p>
    <w:p w14:paraId="27F8B7C7"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10.餐饮业：从业人员100人及以上，且营业收入2000万元及以上。</w:t>
      </w:r>
    </w:p>
    <w:p w14:paraId="0BAF21F7"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11.信息传输业：从业人员100人及以上，且营业收入1000万元及以上。</w:t>
      </w:r>
    </w:p>
    <w:p w14:paraId="58B6BDF2"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12.软件和信息技术服务业：从业人员100人及以上，且营业收入1000万元及以上。</w:t>
      </w:r>
    </w:p>
    <w:p w14:paraId="75A1D61C"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lastRenderedPageBreak/>
        <w:t>13.房地产开发经营：营业收入1000万元及以上，且资产总额5000万元及以上。</w:t>
      </w:r>
    </w:p>
    <w:p w14:paraId="5C9FF146"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14.物业管理：从业人员300人及以上，且营业收入1000万元及以上。</w:t>
      </w:r>
    </w:p>
    <w:p w14:paraId="7EF7E311"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15.租赁和商务服务业：从业人员100人及以上，且资产总额8000万元及以上。</w:t>
      </w:r>
    </w:p>
    <w:p w14:paraId="06CEFED0" w14:textId="77777777" w:rsidR="00E17DD4" w:rsidRDefault="00000000">
      <w:pPr>
        <w:pStyle w:val="ad"/>
        <w:shd w:val="clear" w:color="auto" w:fill="FFFFFF"/>
        <w:snapToGrid w:val="0"/>
        <w:spacing w:before="0" w:beforeAutospacing="0" w:after="0" w:afterAutospacing="0" w:line="560" w:lineRule="exact"/>
        <w:ind w:firstLineChars="200" w:firstLine="632"/>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16.其他未列明行业：从业人员100人及以上。</w:t>
      </w:r>
    </w:p>
    <w:p w14:paraId="4E1219F3" w14:textId="77777777" w:rsidR="00E17DD4" w:rsidRDefault="00E17DD4">
      <w:pPr>
        <w:pStyle w:val="11"/>
        <w:snapToGrid w:val="0"/>
        <w:spacing w:line="540" w:lineRule="exact"/>
        <w:rPr>
          <w:rFonts w:ascii="仿宋_GB2312" w:eastAsia="仿宋_GB2312" w:hAnsi="仿宋_GB2312" w:cs="仿宋_GB2312"/>
          <w:sz w:val="32"/>
          <w:szCs w:val="32"/>
        </w:rPr>
      </w:pPr>
    </w:p>
    <w:p w14:paraId="277A5572" w14:textId="77777777" w:rsidR="00E17DD4" w:rsidRDefault="00E17DD4">
      <w:pPr>
        <w:pStyle w:val="11"/>
        <w:rPr>
          <w:rFonts w:ascii="仿宋_GB2312" w:eastAsia="仿宋_GB2312" w:hAnsi="仿宋_GB2312" w:cs="仿宋_GB2312"/>
          <w:sz w:val="32"/>
          <w:szCs w:val="32"/>
        </w:rPr>
      </w:pPr>
    </w:p>
    <w:p w14:paraId="1B2CCBE9" w14:textId="77777777" w:rsidR="00E17DD4" w:rsidRDefault="00E17DD4">
      <w:pPr>
        <w:pStyle w:val="11"/>
        <w:rPr>
          <w:rFonts w:ascii="仿宋_GB2312" w:eastAsia="仿宋_GB2312" w:hAnsi="仿宋_GB2312" w:cs="仿宋_GB2312"/>
          <w:sz w:val="32"/>
          <w:szCs w:val="32"/>
        </w:rPr>
      </w:pPr>
    </w:p>
    <w:p w14:paraId="209766CA" w14:textId="77777777" w:rsidR="00E17DD4" w:rsidRDefault="00E17DD4">
      <w:pPr>
        <w:pStyle w:val="11"/>
        <w:rPr>
          <w:rFonts w:ascii="仿宋_GB2312" w:eastAsia="仿宋_GB2312" w:hAnsi="仿宋_GB2312" w:cs="仿宋_GB2312"/>
          <w:sz w:val="32"/>
          <w:szCs w:val="32"/>
        </w:rPr>
      </w:pPr>
    </w:p>
    <w:p w14:paraId="6B4F0F40" w14:textId="77777777" w:rsidR="00E17DD4" w:rsidRDefault="00E17DD4">
      <w:pPr>
        <w:pStyle w:val="11"/>
        <w:rPr>
          <w:rFonts w:ascii="仿宋_GB2312" w:eastAsia="仿宋_GB2312" w:hAnsi="仿宋_GB2312" w:cs="仿宋_GB2312"/>
          <w:sz w:val="32"/>
          <w:szCs w:val="32"/>
        </w:rPr>
      </w:pPr>
    </w:p>
    <w:p w14:paraId="5308E91C" w14:textId="77777777" w:rsidR="00E17DD4" w:rsidRDefault="00E17DD4">
      <w:pPr>
        <w:pStyle w:val="11"/>
        <w:rPr>
          <w:rFonts w:ascii="仿宋_GB2312" w:eastAsia="仿宋_GB2312" w:hAnsi="仿宋_GB2312" w:cs="仿宋_GB2312"/>
          <w:sz w:val="32"/>
          <w:szCs w:val="32"/>
        </w:rPr>
      </w:pPr>
    </w:p>
    <w:p w14:paraId="17E3AF84" w14:textId="77777777" w:rsidR="00E17DD4" w:rsidRDefault="00E17DD4">
      <w:pPr>
        <w:pStyle w:val="11"/>
        <w:rPr>
          <w:rFonts w:ascii="仿宋_GB2312" w:eastAsia="仿宋_GB2312" w:hAnsi="仿宋_GB2312" w:cs="仿宋_GB2312"/>
          <w:sz w:val="32"/>
          <w:szCs w:val="32"/>
        </w:rPr>
      </w:pPr>
    </w:p>
    <w:p w14:paraId="14D1145A" w14:textId="77777777" w:rsidR="00E17DD4" w:rsidRDefault="00E17DD4">
      <w:pPr>
        <w:pStyle w:val="11"/>
        <w:spacing w:line="560" w:lineRule="exact"/>
        <w:rPr>
          <w:rFonts w:ascii="仿宋_GB2312" w:eastAsia="仿宋_GB2312" w:hAnsi="仿宋_GB2312" w:cs="仿宋_GB2312"/>
          <w:sz w:val="28"/>
          <w:szCs w:val="28"/>
        </w:rPr>
      </w:pPr>
    </w:p>
    <w:p w14:paraId="3406796B" w14:textId="77777777" w:rsidR="00E17DD4" w:rsidRDefault="00E17DD4">
      <w:pPr>
        <w:pStyle w:val="11"/>
        <w:spacing w:line="560" w:lineRule="exact"/>
        <w:rPr>
          <w:rFonts w:ascii="仿宋_GB2312" w:eastAsia="仿宋_GB2312" w:hAnsi="仿宋_GB2312" w:cs="仿宋_GB2312"/>
          <w:sz w:val="28"/>
          <w:szCs w:val="28"/>
        </w:rPr>
      </w:pPr>
    </w:p>
    <w:p w14:paraId="776CC49A" w14:textId="77777777" w:rsidR="00E17DD4" w:rsidRDefault="00E17DD4">
      <w:pPr>
        <w:pStyle w:val="11"/>
        <w:spacing w:line="560" w:lineRule="exact"/>
        <w:rPr>
          <w:rFonts w:ascii="仿宋_GB2312" w:eastAsia="仿宋_GB2312" w:hAnsi="仿宋_GB2312" w:cs="仿宋_GB2312"/>
          <w:sz w:val="28"/>
          <w:szCs w:val="28"/>
        </w:rPr>
      </w:pPr>
    </w:p>
    <w:p w14:paraId="22BF33C5" w14:textId="77777777" w:rsidR="00E17DD4" w:rsidRDefault="00E17DD4">
      <w:pPr>
        <w:pStyle w:val="11"/>
        <w:spacing w:line="560" w:lineRule="exact"/>
        <w:rPr>
          <w:rFonts w:ascii="仿宋_GB2312" w:eastAsia="仿宋_GB2312" w:hAnsi="仿宋_GB2312" w:cs="仿宋_GB2312"/>
          <w:sz w:val="28"/>
          <w:szCs w:val="28"/>
        </w:rPr>
      </w:pPr>
    </w:p>
    <w:p w14:paraId="1C31CEBB" w14:textId="77777777" w:rsidR="00E17DD4" w:rsidRDefault="00E17DD4">
      <w:pPr>
        <w:pStyle w:val="11"/>
        <w:spacing w:beforeLines="50" w:before="289" w:line="500" w:lineRule="exact"/>
        <w:rPr>
          <w:rFonts w:ascii="仿宋_GB2312" w:eastAsia="仿宋_GB2312" w:hAnsi="仿宋_GB2312" w:cs="仿宋_GB2312"/>
          <w:sz w:val="28"/>
          <w:szCs w:val="28"/>
        </w:rPr>
      </w:pPr>
    </w:p>
    <w:p w14:paraId="41380CDA" w14:textId="77777777" w:rsidR="00E17DD4" w:rsidRDefault="00E17DD4">
      <w:pPr>
        <w:spacing w:line="20" w:lineRule="exact"/>
      </w:pPr>
    </w:p>
    <w:sectPr w:rsidR="00E17DD4">
      <w:headerReference w:type="default" r:id="rId10"/>
      <w:footerReference w:type="default" r:id="rId11"/>
      <w:pgSz w:w="11906" w:h="16838"/>
      <w:pgMar w:top="2098" w:right="1474" w:bottom="1984" w:left="1587" w:header="851" w:footer="1588"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2A606" w14:textId="77777777" w:rsidR="00E912F1" w:rsidRDefault="00E912F1"/>
  </w:endnote>
  <w:endnote w:type="continuationSeparator" w:id="0">
    <w:p w14:paraId="166533A5" w14:textId="77777777" w:rsidR="00E912F1" w:rsidRDefault="00E91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EAD" w14:textId="77777777" w:rsidR="00E17DD4" w:rsidRDefault="00000000">
    <w:pPr>
      <w:pStyle w:val="ab"/>
      <w:ind w:right="360" w:firstLine="360"/>
    </w:pPr>
    <w:r>
      <w:rPr>
        <w:noProof/>
      </w:rPr>
      <mc:AlternateContent>
        <mc:Choice Requires="wps">
          <w:drawing>
            <wp:anchor distT="0" distB="0" distL="114300" distR="114300" simplePos="0" relativeHeight="251659264" behindDoc="0" locked="0" layoutInCell="1" allowOverlap="1" wp14:anchorId="010AB109" wp14:editId="12364764">
              <wp:simplePos x="0" y="0"/>
              <wp:positionH relativeFrom="margin">
                <wp:align>outside</wp:align>
              </wp:positionH>
              <wp:positionV relativeFrom="paragraph">
                <wp:posOffset>0</wp:posOffset>
              </wp:positionV>
              <wp:extent cx="622935" cy="230505"/>
              <wp:effectExtent l="0" t="0" r="0" b="0"/>
              <wp:wrapNone/>
              <wp:docPr id="1" name="文本框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14:paraId="475D85BF" w14:textId="77777777" w:rsidR="00E17DD4" w:rsidRDefault="00000000">
                          <w:pPr>
                            <w:pStyle w:val="ab"/>
                            <w:rPr>
                              <w:rStyle w:val="af3"/>
                              <w:rFonts w:ascii="宋体" w:hAnsi="宋体"/>
                              <w:sz w:val="28"/>
                              <w:szCs w:val="28"/>
                            </w:rPr>
                          </w:pPr>
                          <w:r>
                            <w:rPr>
                              <w:rStyle w:val="af3"/>
                              <w:rFonts w:ascii="宋体" w:hAnsi="宋体" w:hint="eastAsia"/>
                              <w:sz w:val="28"/>
                              <w:szCs w:val="28"/>
                            </w:rPr>
                            <w:t>—</w:t>
                          </w:r>
                          <w:r>
                            <w:rPr>
                              <w:rStyle w:val="af3"/>
                              <w:rFonts w:ascii="宋体" w:hAnsi="宋体" w:hint="eastAsia"/>
                              <w:sz w:val="28"/>
                              <w:szCs w:val="28"/>
                            </w:rPr>
                            <w:t xml:space="preserve"> </w:t>
                          </w:r>
                          <w:r>
                            <w:rPr>
                              <w:rStyle w:val="af3"/>
                              <w:rFonts w:ascii="宋体" w:hAnsi="宋体" w:hint="eastAsia"/>
                              <w:sz w:val="28"/>
                              <w:szCs w:val="28"/>
                            </w:rPr>
                            <w:fldChar w:fldCharType="begin"/>
                          </w:r>
                          <w:r>
                            <w:rPr>
                              <w:rStyle w:val="af3"/>
                              <w:rFonts w:ascii="宋体" w:hAnsi="宋体" w:hint="eastAsia"/>
                              <w:sz w:val="28"/>
                              <w:szCs w:val="28"/>
                            </w:rPr>
                            <w:instrText xml:space="preserve"> PAGE  \* MERGEFORMAT </w:instrText>
                          </w:r>
                          <w:r>
                            <w:rPr>
                              <w:rStyle w:val="af3"/>
                              <w:rFonts w:ascii="宋体" w:hAnsi="宋体" w:hint="eastAsia"/>
                              <w:sz w:val="28"/>
                              <w:szCs w:val="28"/>
                            </w:rPr>
                            <w:fldChar w:fldCharType="separate"/>
                          </w:r>
                          <w:r>
                            <w:rPr>
                              <w:rStyle w:val="af3"/>
                              <w:rFonts w:ascii="宋体" w:hAnsi="宋体" w:hint="eastAsia"/>
                              <w:sz w:val="28"/>
                              <w:szCs w:val="28"/>
                            </w:rPr>
                            <w:t>5</w:t>
                          </w:r>
                          <w:r>
                            <w:rPr>
                              <w:rStyle w:val="af3"/>
                              <w:rFonts w:ascii="宋体" w:hAnsi="宋体" w:hint="eastAsia"/>
                              <w:sz w:val="28"/>
                              <w:szCs w:val="28"/>
                            </w:rPr>
                            <w:fldChar w:fldCharType="end"/>
                          </w:r>
                          <w:r>
                            <w:rPr>
                              <w:rStyle w:val="af3"/>
                              <w:rFonts w:ascii="宋体" w:hAnsi="宋体" w:hint="eastAsia"/>
                              <w:sz w:val="28"/>
                              <w:szCs w:val="28"/>
                            </w:rPr>
                            <w:t xml:space="preserve"> </w:t>
                          </w:r>
                          <w:r>
                            <w:rPr>
                              <w:rStyle w:val="af3"/>
                              <w:rFonts w:ascii="宋体" w:hAnsi="宋体" w:hint="eastAsia"/>
                              <w:sz w:val="28"/>
                              <w:szCs w:val="28"/>
                            </w:rPr>
                            <w:t>—</w:t>
                          </w:r>
                        </w:p>
                      </w:txbxContent>
                    </wps:txbx>
                    <wps:bodyPr rot="0" vert="horz" wrap="none" lIns="0" tIns="0" rIns="0" bIns="0" anchor="t" anchorCtr="0" upright="1">
                      <a:spAutoFit/>
                    </wps:bodyPr>
                  </wps:wsp>
                </a:graphicData>
              </a:graphic>
            </wp:anchor>
          </w:drawing>
        </mc:Choice>
        <mc:Fallback>
          <w:pict>
            <v:shapetype w14:anchorId="010AB109" id="_x0000_t202" coordsize="21600,21600" o:spt="202" path="m,l,21600r21600,l21600,xe">
              <v:stroke joinstyle="miter"/>
              <v:path gradientshapeok="t" o:connecttype="rect"/>
            </v:shapetype>
            <v:shape id="文本框 1028" o:spid="_x0000_s1026" type="#_x0000_t202" style="position:absolute;left:0;text-align:left;margin-left:-2.15pt;margin-top:0;width:49.0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" filled="f" stroked="f">
              <v:textbox style="mso-fit-shape-to-text:t" inset="0,0,0,0">
                <w:txbxContent>
                  <w:p w14:paraId="475D85BF" w14:textId="77777777" w:rsidR="00E17DD4" w:rsidRDefault="00000000">
                    <w:pPr>
                      <w:pStyle w:val="ab"/>
                      <w:rPr>
                        <w:rStyle w:val="af3"/>
                        <w:rFonts w:ascii="宋体" w:hAnsi="宋体"/>
                        <w:sz w:val="28"/>
                        <w:szCs w:val="28"/>
                      </w:rPr>
                    </w:pPr>
                    <w:r>
                      <w:rPr>
                        <w:rStyle w:val="af3"/>
                        <w:rFonts w:ascii="宋体" w:hAnsi="宋体" w:hint="eastAsia"/>
                        <w:sz w:val="28"/>
                        <w:szCs w:val="28"/>
                      </w:rPr>
                      <w:t>—</w:t>
                    </w:r>
                    <w:r>
                      <w:rPr>
                        <w:rStyle w:val="af3"/>
                        <w:rFonts w:ascii="宋体" w:hAnsi="宋体" w:hint="eastAsia"/>
                        <w:sz w:val="28"/>
                        <w:szCs w:val="28"/>
                      </w:rPr>
                      <w:t xml:space="preserve"> </w:t>
                    </w:r>
                    <w:r>
                      <w:rPr>
                        <w:rStyle w:val="af3"/>
                        <w:rFonts w:ascii="宋体" w:hAnsi="宋体" w:hint="eastAsia"/>
                        <w:sz w:val="28"/>
                        <w:szCs w:val="28"/>
                      </w:rPr>
                      <w:fldChar w:fldCharType="begin"/>
                    </w:r>
                    <w:r>
                      <w:rPr>
                        <w:rStyle w:val="af3"/>
                        <w:rFonts w:ascii="宋体" w:hAnsi="宋体" w:hint="eastAsia"/>
                        <w:sz w:val="28"/>
                        <w:szCs w:val="28"/>
                      </w:rPr>
                      <w:instrText xml:space="preserve"> PAGE  \* MERGEFORMAT </w:instrText>
                    </w:r>
                    <w:r>
                      <w:rPr>
                        <w:rStyle w:val="af3"/>
                        <w:rFonts w:ascii="宋体" w:hAnsi="宋体" w:hint="eastAsia"/>
                        <w:sz w:val="28"/>
                        <w:szCs w:val="28"/>
                      </w:rPr>
                      <w:fldChar w:fldCharType="separate"/>
                    </w:r>
                    <w:r>
                      <w:rPr>
                        <w:rStyle w:val="af3"/>
                        <w:rFonts w:ascii="宋体" w:hAnsi="宋体" w:hint="eastAsia"/>
                        <w:sz w:val="28"/>
                        <w:szCs w:val="28"/>
                      </w:rPr>
                      <w:t>5</w:t>
                    </w:r>
                    <w:r>
                      <w:rPr>
                        <w:rStyle w:val="af3"/>
                        <w:rFonts w:ascii="宋体" w:hAnsi="宋体" w:hint="eastAsia"/>
                        <w:sz w:val="28"/>
                        <w:szCs w:val="28"/>
                      </w:rPr>
                      <w:fldChar w:fldCharType="end"/>
                    </w:r>
                    <w:r>
                      <w:rPr>
                        <w:rStyle w:val="af3"/>
                        <w:rFonts w:ascii="宋体" w:hAnsi="宋体" w:hint="eastAsia"/>
                        <w:sz w:val="28"/>
                        <w:szCs w:val="28"/>
                      </w:rPr>
                      <w:t xml:space="preserve"> </w:t>
                    </w:r>
                    <w:r>
                      <w:rPr>
                        <w:rStyle w:val="af3"/>
                        <w:rFonts w:ascii="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8840" w14:textId="77777777" w:rsidR="00E912F1" w:rsidRDefault="00E912F1"/>
  </w:footnote>
  <w:footnote w:type="continuationSeparator" w:id="0">
    <w:p w14:paraId="0115215D" w14:textId="77777777" w:rsidR="00E912F1" w:rsidRDefault="00E912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EA2B" w14:textId="77777777" w:rsidR="00E17DD4" w:rsidRDefault="00000000">
    <w:pPr>
      <w:tabs>
        <w:tab w:val="center" w:pos="4153"/>
        <w:tab w:val="right" w:pos="8306"/>
      </w:tabs>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58"/>
  <w:drawingGridVerticalSpacing w:val="29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31F"/>
    <w:rsid w:val="000D1D7B"/>
    <w:rsid w:val="00195F70"/>
    <w:rsid w:val="001A1D5B"/>
    <w:rsid w:val="00254382"/>
    <w:rsid w:val="002A03C7"/>
    <w:rsid w:val="002D562F"/>
    <w:rsid w:val="003208CA"/>
    <w:rsid w:val="0032323C"/>
    <w:rsid w:val="00390EB9"/>
    <w:rsid w:val="004453F4"/>
    <w:rsid w:val="004B507F"/>
    <w:rsid w:val="006746EC"/>
    <w:rsid w:val="007D4E63"/>
    <w:rsid w:val="00886D19"/>
    <w:rsid w:val="008A78AF"/>
    <w:rsid w:val="008B189B"/>
    <w:rsid w:val="009002D2"/>
    <w:rsid w:val="0093431F"/>
    <w:rsid w:val="009740D6"/>
    <w:rsid w:val="00A07B12"/>
    <w:rsid w:val="00A4371F"/>
    <w:rsid w:val="00BF7A4E"/>
    <w:rsid w:val="00D50FDD"/>
    <w:rsid w:val="00E17DD4"/>
    <w:rsid w:val="00E42A38"/>
    <w:rsid w:val="00E912F1"/>
    <w:rsid w:val="00F61082"/>
    <w:rsid w:val="00FC0502"/>
    <w:rsid w:val="00FC2035"/>
    <w:rsid w:val="00FD4541"/>
    <w:rsid w:val="01ED0F03"/>
    <w:rsid w:val="02850589"/>
    <w:rsid w:val="02FC138E"/>
    <w:rsid w:val="03E94464"/>
    <w:rsid w:val="04330A28"/>
    <w:rsid w:val="047445F9"/>
    <w:rsid w:val="050C39A1"/>
    <w:rsid w:val="0582282C"/>
    <w:rsid w:val="05BD5F5D"/>
    <w:rsid w:val="066C34C0"/>
    <w:rsid w:val="072C6D66"/>
    <w:rsid w:val="07D85A5F"/>
    <w:rsid w:val="08523B90"/>
    <w:rsid w:val="0898729E"/>
    <w:rsid w:val="08AB46E5"/>
    <w:rsid w:val="08F800C4"/>
    <w:rsid w:val="092F0797"/>
    <w:rsid w:val="09D52E66"/>
    <w:rsid w:val="0A332B35"/>
    <w:rsid w:val="0B572921"/>
    <w:rsid w:val="0BAE5DB0"/>
    <w:rsid w:val="0C456F64"/>
    <w:rsid w:val="0E1A10B7"/>
    <w:rsid w:val="0E3740FB"/>
    <w:rsid w:val="0E545E52"/>
    <w:rsid w:val="0E956385"/>
    <w:rsid w:val="0F27634E"/>
    <w:rsid w:val="101C1544"/>
    <w:rsid w:val="11AF2228"/>
    <w:rsid w:val="12940CF6"/>
    <w:rsid w:val="12E27315"/>
    <w:rsid w:val="14102ED7"/>
    <w:rsid w:val="14644D4B"/>
    <w:rsid w:val="14A67556"/>
    <w:rsid w:val="14D574B9"/>
    <w:rsid w:val="14EF2823"/>
    <w:rsid w:val="15094080"/>
    <w:rsid w:val="15B81BE5"/>
    <w:rsid w:val="160E26F1"/>
    <w:rsid w:val="184D186E"/>
    <w:rsid w:val="18547484"/>
    <w:rsid w:val="18F2171D"/>
    <w:rsid w:val="1A945D75"/>
    <w:rsid w:val="1B570174"/>
    <w:rsid w:val="1B7E634B"/>
    <w:rsid w:val="1C357711"/>
    <w:rsid w:val="1C857499"/>
    <w:rsid w:val="1D2F4557"/>
    <w:rsid w:val="1D39603E"/>
    <w:rsid w:val="1D5468D6"/>
    <w:rsid w:val="1DD126F0"/>
    <w:rsid w:val="1FBF42C2"/>
    <w:rsid w:val="204D54FB"/>
    <w:rsid w:val="204F0E30"/>
    <w:rsid w:val="211332F1"/>
    <w:rsid w:val="214940E1"/>
    <w:rsid w:val="21B26410"/>
    <w:rsid w:val="21F51B33"/>
    <w:rsid w:val="228D1DA3"/>
    <w:rsid w:val="22D85475"/>
    <w:rsid w:val="23223151"/>
    <w:rsid w:val="23CA42BB"/>
    <w:rsid w:val="2456509C"/>
    <w:rsid w:val="24A24F69"/>
    <w:rsid w:val="24B25358"/>
    <w:rsid w:val="25496A8E"/>
    <w:rsid w:val="25833C8A"/>
    <w:rsid w:val="267F0471"/>
    <w:rsid w:val="285223EF"/>
    <w:rsid w:val="29001CFC"/>
    <w:rsid w:val="29074B40"/>
    <w:rsid w:val="29E023A5"/>
    <w:rsid w:val="29F40A6C"/>
    <w:rsid w:val="2A381B36"/>
    <w:rsid w:val="2B42281C"/>
    <w:rsid w:val="2BB8755D"/>
    <w:rsid w:val="2C3F79E8"/>
    <w:rsid w:val="2C6E30AC"/>
    <w:rsid w:val="2CB60E8D"/>
    <w:rsid w:val="2CDE2022"/>
    <w:rsid w:val="2D0914C3"/>
    <w:rsid w:val="2DD6711C"/>
    <w:rsid w:val="2E54792D"/>
    <w:rsid w:val="2E79147B"/>
    <w:rsid w:val="2F9B3E71"/>
    <w:rsid w:val="2FDF24E1"/>
    <w:rsid w:val="30F011A4"/>
    <w:rsid w:val="311A537B"/>
    <w:rsid w:val="31212700"/>
    <w:rsid w:val="32062519"/>
    <w:rsid w:val="32C341BA"/>
    <w:rsid w:val="34337FEC"/>
    <w:rsid w:val="35492FCE"/>
    <w:rsid w:val="35D40A31"/>
    <w:rsid w:val="35EF0E4C"/>
    <w:rsid w:val="368341A4"/>
    <w:rsid w:val="36AC02A7"/>
    <w:rsid w:val="37333D54"/>
    <w:rsid w:val="37AF1D54"/>
    <w:rsid w:val="38020B5C"/>
    <w:rsid w:val="38E94C2B"/>
    <w:rsid w:val="38F361B0"/>
    <w:rsid w:val="391F1028"/>
    <w:rsid w:val="39642F4A"/>
    <w:rsid w:val="3E151167"/>
    <w:rsid w:val="3E3444A1"/>
    <w:rsid w:val="3E89325D"/>
    <w:rsid w:val="3F106E48"/>
    <w:rsid w:val="3FBB293B"/>
    <w:rsid w:val="3FE735E1"/>
    <w:rsid w:val="40B25863"/>
    <w:rsid w:val="41737B08"/>
    <w:rsid w:val="426C1EC6"/>
    <w:rsid w:val="42DD173D"/>
    <w:rsid w:val="43CB0B24"/>
    <w:rsid w:val="43E868C5"/>
    <w:rsid w:val="443F3E22"/>
    <w:rsid w:val="44516FF9"/>
    <w:rsid w:val="44F6602D"/>
    <w:rsid w:val="453272E4"/>
    <w:rsid w:val="45487F8F"/>
    <w:rsid w:val="46953B94"/>
    <w:rsid w:val="46F064D7"/>
    <w:rsid w:val="47B105F5"/>
    <w:rsid w:val="47D00235"/>
    <w:rsid w:val="47F51E15"/>
    <w:rsid w:val="47F95B0C"/>
    <w:rsid w:val="48775560"/>
    <w:rsid w:val="48AD60BF"/>
    <w:rsid w:val="48DD5CB5"/>
    <w:rsid w:val="48E4242E"/>
    <w:rsid w:val="48FC7C08"/>
    <w:rsid w:val="49440047"/>
    <w:rsid w:val="4A261D1D"/>
    <w:rsid w:val="4A5F02AD"/>
    <w:rsid w:val="4A82228F"/>
    <w:rsid w:val="4B152B9F"/>
    <w:rsid w:val="4B23368B"/>
    <w:rsid w:val="4BEA4D6D"/>
    <w:rsid w:val="4BF51D90"/>
    <w:rsid w:val="4C8E4FB6"/>
    <w:rsid w:val="4D09074C"/>
    <w:rsid w:val="4D154AB7"/>
    <w:rsid w:val="4DDC09CF"/>
    <w:rsid w:val="4E0361C6"/>
    <w:rsid w:val="50682D3E"/>
    <w:rsid w:val="50AC7C53"/>
    <w:rsid w:val="50C32E15"/>
    <w:rsid w:val="512C5BCA"/>
    <w:rsid w:val="517B5A9A"/>
    <w:rsid w:val="51EE05A2"/>
    <w:rsid w:val="5259639B"/>
    <w:rsid w:val="52C04971"/>
    <w:rsid w:val="52EE137C"/>
    <w:rsid w:val="534351FD"/>
    <w:rsid w:val="544905F2"/>
    <w:rsid w:val="548B0A6B"/>
    <w:rsid w:val="55C11831"/>
    <w:rsid w:val="55F3618D"/>
    <w:rsid w:val="56D6164A"/>
    <w:rsid w:val="574F7963"/>
    <w:rsid w:val="576A022C"/>
    <w:rsid w:val="580B5FC4"/>
    <w:rsid w:val="587E3444"/>
    <w:rsid w:val="59A55261"/>
    <w:rsid w:val="59B0275A"/>
    <w:rsid w:val="59BA561B"/>
    <w:rsid w:val="59D2173C"/>
    <w:rsid w:val="5A3667E9"/>
    <w:rsid w:val="5A491962"/>
    <w:rsid w:val="5A51447B"/>
    <w:rsid w:val="5A663623"/>
    <w:rsid w:val="5A6B61D1"/>
    <w:rsid w:val="5A9B2ED2"/>
    <w:rsid w:val="5AAA3D07"/>
    <w:rsid w:val="5AFB4F57"/>
    <w:rsid w:val="5B141839"/>
    <w:rsid w:val="5B2F6380"/>
    <w:rsid w:val="5B6C4E66"/>
    <w:rsid w:val="5B7B2E1B"/>
    <w:rsid w:val="5BD97C23"/>
    <w:rsid w:val="5BE864FA"/>
    <w:rsid w:val="5BEB498F"/>
    <w:rsid w:val="5C8B40B6"/>
    <w:rsid w:val="5CF3172E"/>
    <w:rsid w:val="5DD05DEB"/>
    <w:rsid w:val="5DD83962"/>
    <w:rsid w:val="5DE73D16"/>
    <w:rsid w:val="5E4D2B28"/>
    <w:rsid w:val="5E551078"/>
    <w:rsid w:val="5FD35ED1"/>
    <w:rsid w:val="602003BC"/>
    <w:rsid w:val="609924C2"/>
    <w:rsid w:val="613E17D5"/>
    <w:rsid w:val="61665FE8"/>
    <w:rsid w:val="617B74BC"/>
    <w:rsid w:val="619030E7"/>
    <w:rsid w:val="61E02D7F"/>
    <w:rsid w:val="626D6E2B"/>
    <w:rsid w:val="62DC54D3"/>
    <w:rsid w:val="63C36D50"/>
    <w:rsid w:val="65323C9E"/>
    <w:rsid w:val="65395909"/>
    <w:rsid w:val="66535549"/>
    <w:rsid w:val="672C6F7A"/>
    <w:rsid w:val="68C12DA8"/>
    <w:rsid w:val="69065190"/>
    <w:rsid w:val="69797B5E"/>
    <w:rsid w:val="69885F4D"/>
    <w:rsid w:val="69A419C9"/>
    <w:rsid w:val="6A7A3B7D"/>
    <w:rsid w:val="6A7F0C08"/>
    <w:rsid w:val="6AAC495C"/>
    <w:rsid w:val="6AC853C8"/>
    <w:rsid w:val="6B2B4A32"/>
    <w:rsid w:val="6CAE5F29"/>
    <w:rsid w:val="6D3A265B"/>
    <w:rsid w:val="6D721CEF"/>
    <w:rsid w:val="6DB3287F"/>
    <w:rsid w:val="6ED0765E"/>
    <w:rsid w:val="7129170F"/>
    <w:rsid w:val="71483D74"/>
    <w:rsid w:val="71DE0A1F"/>
    <w:rsid w:val="7247332F"/>
    <w:rsid w:val="7258679E"/>
    <w:rsid w:val="72656C6B"/>
    <w:rsid w:val="72AF31DF"/>
    <w:rsid w:val="74BE130F"/>
    <w:rsid w:val="75175AF2"/>
    <w:rsid w:val="7589288D"/>
    <w:rsid w:val="75E07A54"/>
    <w:rsid w:val="75F70818"/>
    <w:rsid w:val="76097930"/>
    <w:rsid w:val="76657F9A"/>
    <w:rsid w:val="775D4CD2"/>
    <w:rsid w:val="77EF7683"/>
    <w:rsid w:val="78080439"/>
    <w:rsid w:val="78997F76"/>
    <w:rsid w:val="79312CE0"/>
    <w:rsid w:val="794657DB"/>
    <w:rsid w:val="79E52342"/>
    <w:rsid w:val="7AE2396A"/>
    <w:rsid w:val="7B532A05"/>
    <w:rsid w:val="7C091BBF"/>
    <w:rsid w:val="7C4C1346"/>
    <w:rsid w:val="7CDA60DD"/>
    <w:rsid w:val="7D480203"/>
    <w:rsid w:val="7D687EB5"/>
    <w:rsid w:val="7D8F1F11"/>
    <w:rsid w:val="7E2438FC"/>
    <w:rsid w:val="7E835A06"/>
    <w:rsid w:val="7ED44A81"/>
    <w:rsid w:val="7EE83223"/>
    <w:rsid w:val="7F0B6DAD"/>
    <w:rsid w:val="7FD10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82901"/>
  <w15:docId w15:val="{D88D28AF-750A-4853-8862-78D311F9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index 8" w:qFormat="1"/>
    <w:lsdException w:name="toc 1" w:uiPriority="39" w:unhideWhenUsed="1" w:qFormat="1"/>
    <w:lsdException w:name="toc 2" w:qFormat="1"/>
    <w:lsdException w:name="toc 3" w:uiPriority="39" w:unhideWhenUsed="1" w:qFormat="1"/>
    <w:lsdException w:name="Normal Indent" w:qFormat="1"/>
    <w:lsdException w:name="header" w:qFormat="1"/>
    <w:lsdException w:name="footer" w:qFormat="1"/>
    <w:lsdException w:name="annotation reference" w:qFormat="1"/>
    <w:lsdException w:name="page number" w:qFormat="1"/>
    <w:lsdException w:name="endnote reference" w:qFormat="1"/>
    <w:lsdException w:name="endnote text" w:qFormat="1"/>
    <w:lsdException w:name="table of authorities" w:uiPriority="99" w:qFormat="1"/>
    <w:lsdException w:name="Title" w:qFormat="1"/>
    <w:lsdException w:name="Default Paragraph Font" w:semiHidden="1" w:uiPriority="1" w:unhideWhenUsed="1" w:qFormat="1"/>
    <w:lsdException w:name="Body Text" w:qFormat="1"/>
    <w:lsdException w:name="Body Text Indent" w:uiPriority="99" w:qFormat="1"/>
    <w:lsdException w:name="Body Text First Indent" w:qFormat="1"/>
    <w:lsdException w:name="Body Text First Indent 2" w:uiPriority="99" w:qFormat="1"/>
    <w:lsdException w:name="Body Text Indent 2" w:qFormat="1"/>
    <w:lsdException w:name="Hyperlink" w:uiPriority="99" w:unhideWhenUsed="1" w:qFormat="1"/>
    <w:lsdException w:name="Strong"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PlainText1"/>
    <w:qFormat/>
    <w:pPr>
      <w:widowControl w:val="0"/>
      <w:jc w:val="both"/>
    </w:pPr>
    <w:rPr>
      <w:rFonts w:ascii="Calibri" w:eastAsia="仿宋_GB2312" w:hAnsi="Calibri" w:cs="宋体"/>
      <w:kern w:val="2"/>
      <w:sz w:val="32"/>
      <w:szCs w:val="32"/>
    </w:rPr>
  </w:style>
  <w:style w:type="paragraph" w:styleId="1">
    <w:name w:val="heading 1"/>
    <w:basedOn w:val="a"/>
    <w:next w:val="a"/>
    <w:qFormat/>
    <w:pPr>
      <w:keepNext/>
      <w:keepLines/>
      <w:adjustRightInd w:val="0"/>
      <w:snapToGrid w:val="0"/>
      <w:spacing w:line="560" w:lineRule="exact"/>
      <w:jc w:val="center"/>
      <w:outlineLvl w:val="0"/>
    </w:pPr>
    <w:rPr>
      <w:rFonts w:ascii="方正小标宋简体" w:eastAsia="方正小标宋简体" w:hAnsi="方正小标宋简体" w:cs="方正小标宋简体"/>
      <w:kern w:val="44"/>
      <w:sz w:val="44"/>
      <w:szCs w:val="44"/>
    </w:rPr>
  </w:style>
  <w:style w:type="paragraph" w:styleId="2">
    <w:name w:val="heading 2"/>
    <w:basedOn w:val="a"/>
    <w:next w:val="a0"/>
    <w:link w:val="20"/>
    <w:unhideWhenUsed/>
    <w:qFormat/>
    <w:pPr>
      <w:keepNext/>
      <w:keepLines/>
      <w:spacing w:beforeLines="50" w:before="50" w:afterLines="50" w:after="50" w:line="415" w:lineRule="auto"/>
      <w:ind w:firstLineChars="100" w:firstLine="100"/>
      <w:outlineLvl w:val="1"/>
    </w:pPr>
    <w:rPr>
      <w:rFonts w:ascii="Calibri Light" w:eastAsia="黑体" w:hAnsi="Calibri Light"/>
      <w:bCs/>
      <w:sz w:val="30"/>
    </w:rPr>
  </w:style>
  <w:style w:type="paragraph" w:styleId="3">
    <w:name w:val="heading 3"/>
    <w:basedOn w:val="a"/>
    <w:next w:val="a"/>
    <w:unhideWhenUsed/>
    <w:qFormat/>
    <w:pPr>
      <w:keepNext/>
      <w:keepLines/>
      <w:spacing w:line="560" w:lineRule="exact"/>
      <w:outlineLvl w:val="2"/>
    </w:pPr>
    <w:rPr>
      <w:rFonts w:eastAsia="楷体_GB231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lainText1">
    <w:name w:val="Plain Text1"/>
    <w:basedOn w:val="a"/>
    <w:qFormat/>
    <w:pPr>
      <w:widowControl/>
    </w:pPr>
    <w:rPr>
      <w:rFonts w:ascii="宋体" w:hAnsi="Courier New"/>
      <w:szCs w:val="21"/>
    </w:rPr>
  </w:style>
  <w:style w:type="paragraph" w:styleId="a0">
    <w:name w:val="Normal Indent"/>
    <w:basedOn w:val="a"/>
    <w:next w:val="a"/>
    <w:qFormat/>
    <w:pPr>
      <w:ind w:firstLine="420"/>
    </w:pPr>
    <w:rPr>
      <w:rFonts w:cs="Times New Roman"/>
      <w:szCs w:val="24"/>
    </w:rPr>
  </w:style>
  <w:style w:type="paragraph" w:styleId="a4">
    <w:name w:val="table of authorities"/>
    <w:basedOn w:val="a"/>
    <w:next w:val="a"/>
    <w:uiPriority w:val="99"/>
    <w:qFormat/>
    <w:pPr>
      <w:ind w:leftChars="200" w:left="420"/>
    </w:pPr>
  </w:style>
  <w:style w:type="paragraph" w:styleId="8">
    <w:name w:val="index 8"/>
    <w:basedOn w:val="a"/>
    <w:next w:val="a"/>
    <w:qFormat/>
    <w:pPr>
      <w:ind w:leftChars="1400" w:left="1400"/>
    </w:pPr>
  </w:style>
  <w:style w:type="paragraph" w:styleId="a5">
    <w:name w:val="Document Map"/>
    <w:basedOn w:val="a"/>
    <w:semiHidden/>
    <w:qFormat/>
    <w:pPr>
      <w:shd w:val="clear" w:color="auto" w:fill="000080"/>
    </w:pPr>
  </w:style>
  <w:style w:type="paragraph" w:styleId="a6">
    <w:name w:val="Body Text"/>
    <w:basedOn w:val="a"/>
    <w:next w:val="a"/>
    <w:qFormat/>
    <w:pPr>
      <w:ind w:firstLineChars="200" w:firstLine="560"/>
    </w:pPr>
    <w:rPr>
      <w:rFonts w:ascii="宋体" w:hAnsi="Times New Roman" w:cs="Times New Roman"/>
      <w:kern w:val="0"/>
      <w:sz w:val="28"/>
      <w:szCs w:val="20"/>
    </w:rPr>
  </w:style>
  <w:style w:type="paragraph" w:styleId="a7">
    <w:name w:val="Body Text Indent"/>
    <w:basedOn w:val="a"/>
    <w:next w:val="a0"/>
    <w:uiPriority w:val="99"/>
    <w:qFormat/>
    <w:pPr>
      <w:spacing w:after="120"/>
      <w:ind w:leftChars="200" w:left="420"/>
    </w:pPr>
  </w:style>
  <w:style w:type="paragraph" w:styleId="TOC3">
    <w:name w:val="toc 3"/>
    <w:basedOn w:val="a"/>
    <w:next w:val="a"/>
    <w:uiPriority w:val="39"/>
    <w:unhideWhenUsed/>
    <w:qFormat/>
    <w:pPr>
      <w:ind w:leftChars="400" w:left="840"/>
    </w:pPr>
  </w:style>
  <w:style w:type="paragraph" w:styleId="a8">
    <w:name w:val="Plain Text"/>
    <w:basedOn w:val="a"/>
    <w:next w:val="8"/>
    <w:uiPriority w:val="99"/>
    <w:unhideWhenUsed/>
    <w:qFormat/>
    <w:rPr>
      <w:rFonts w:ascii="仿宋_GB2312" w:hAnsi="仿宋_GB2312"/>
    </w:rPr>
  </w:style>
  <w:style w:type="paragraph" w:styleId="21">
    <w:name w:val="Body Text Indent 2"/>
    <w:basedOn w:val="a"/>
    <w:qFormat/>
    <w:pPr>
      <w:ind w:firstLine="872"/>
    </w:pPr>
  </w:style>
  <w:style w:type="paragraph" w:styleId="a9">
    <w:name w:val="endnote text"/>
    <w:basedOn w:val="a"/>
    <w:qFormat/>
    <w:pPr>
      <w:snapToGrid w:val="0"/>
      <w:jc w:val="left"/>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qFormat/>
    <w:pPr>
      <w:ind w:leftChars="200" w:left="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d">
    <w:name w:val="Normal (Web)"/>
    <w:basedOn w:val="a"/>
    <w:qFormat/>
    <w:pPr>
      <w:widowControl/>
      <w:spacing w:before="100" w:beforeAutospacing="1" w:after="100" w:afterAutospacing="1"/>
      <w:jc w:val="left"/>
    </w:pPr>
    <w:rPr>
      <w:rFonts w:ascii="宋体" w:hAnsi="宋体"/>
      <w:kern w:val="0"/>
      <w:sz w:val="24"/>
      <w:szCs w:val="24"/>
    </w:rPr>
  </w:style>
  <w:style w:type="paragraph" w:styleId="ae">
    <w:name w:val="Title"/>
    <w:basedOn w:val="a"/>
    <w:next w:val="a"/>
    <w:qFormat/>
    <w:pPr>
      <w:spacing w:before="240" w:after="60"/>
      <w:jc w:val="center"/>
      <w:outlineLvl w:val="0"/>
    </w:pPr>
    <w:rPr>
      <w:rFonts w:ascii="Cambria" w:eastAsia="宋体" w:hAnsi="Cambria"/>
      <w:b/>
      <w:bCs/>
    </w:rPr>
  </w:style>
  <w:style w:type="paragraph" w:styleId="af">
    <w:name w:val="Body Text First Indent"/>
    <w:basedOn w:val="a6"/>
    <w:qFormat/>
    <w:pPr>
      <w:spacing w:after="120"/>
      <w:ind w:left="115" w:firstLineChars="100" w:firstLine="420"/>
    </w:pPr>
    <w:rPr>
      <w:rFonts w:ascii="仿宋" w:eastAsia="仿宋" w:hAnsi="仿宋" w:cs="仿宋"/>
      <w:kern w:val="2"/>
      <w:sz w:val="30"/>
      <w:szCs w:val="32"/>
    </w:rPr>
  </w:style>
  <w:style w:type="paragraph" w:styleId="22">
    <w:name w:val="Body Text First Indent 2"/>
    <w:basedOn w:val="a7"/>
    <w:next w:val="a"/>
    <w:uiPriority w:val="99"/>
    <w:qFormat/>
    <w:pPr>
      <w:ind w:firstLine="420"/>
    </w:pPr>
    <w:rPr>
      <w:szCs w:val="24"/>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qFormat/>
    <w:rPr>
      <w:b/>
    </w:rPr>
  </w:style>
  <w:style w:type="character" w:styleId="af2">
    <w:name w:val="endnote reference"/>
    <w:basedOn w:val="a1"/>
    <w:qFormat/>
    <w:rPr>
      <w:vertAlign w:val="superscript"/>
    </w:rPr>
  </w:style>
  <w:style w:type="character" w:styleId="af3">
    <w:name w:val="page number"/>
    <w:basedOn w:val="a1"/>
    <w:qFormat/>
  </w:style>
  <w:style w:type="character" w:styleId="af4">
    <w:name w:val="Hyperlink"/>
    <w:basedOn w:val="a1"/>
    <w:uiPriority w:val="99"/>
    <w:unhideWhenUsed/>
    <w:qFormat/>
    <w:rPr>
      <w:color w:val="0000FF"/>
      <w:u w:val="single"/>
    </w:rPr>
  </w:style>
  <w:style w:type="character" w:styleId="af5">
    <w:name w:val="annotation reference"/>
    <w:basedOn w:val="a1"/>
    <w:qFormat/>
    <w:rPr>
      <w:sz w:val="21"/>
      <w:szCs w:val="21"/>
    </w:rPr>
  </w:style>
  <w:style w:type="paragraph" w:customStyle="1" w:styleId="Char1">
    <w:name w:val="Char1"/>
    <w:basedOn w:val="a"/>
    <w:qFormat/>
    <w:rPr>
      <w:rFonts w:ascii="Tahoma" w:hAnsi="Tahoma" w:cs="Times New Roman"/>
      <w:sz w:val="24"/>
      <w:szCs w:val="20"/>
    </w:rPr>
  </w:style>
  <w:style w:type="paragraph" w:customStyle="1" w:styleId="NormalIndent">
    <w:name w:val="NormalIndent"/>
    <w:basedOn w:val="a"/>
    <w:qFormat/>
    <w:pPr>
      <w:widowControl/>
      <w:ind w:firstLine="420"/>
      <w:textAlignment w:val="baseline"/>
    </w:pPr>
    <w:rPr>
      <w:szCs w:val="20"/>
    </w:rPr>
  </w:style>
  <w:style w:type="paragraph" w:customStyle="1" w:styleId="af6">
    <w:name w:val="政府正文"/>
    <w:basedOn w:val="a"/>
    <w:qFormat/>
    <w:pPr>
      <w:widowControl/>
      <w:adjustRightInd w:val="0"/>
      <w:snapToGrid w:val="0"/>
      <w:spacing w:line="560" w:lineRule="exact"/>
      <w:ind w:firstLine="641"/>
    </w:pPr>
    <w:rPr>
      <w:rFonts w:ascii="仿宋" w:eastAsia="仿宋" w:cs="Times New Roman"/>
    </w:rPr>
  </w:style>
  <w:style w:type="paragraph" w:customStyle="1" w:styleId="PlainText">
    <w:name w:val="PlainText"/>
    <w:basedOn w:val="a"/>
    <w:next w:val="a"/>
    <w:qFormat/>
    <w:pPr>
      <w:textAlignment w:val="baseline"/>
    </w:pPr>
    <w:rPr>
      <w:rFonts w:ascii="宋体" w:eastAsia="宋体" w:hAnsi="Courier New" w:cs="Times New Roman"/>
    </w:rPr>
  </w:style>
  <w:style w:type="paragraph" w:customStyle="1" w:styleId="TOC10">
    <w:name w:val="TOC 标题1"/>
    <w:basedOn w:val="1"/>
    <w:next w:val="a"/>
    <w:uiPriority w:val="39"/>
    <w:unhideWhenUsed/>
    <w:qFormat/>
    <w:pPr>
      <w:widowControl/>
      <w:spacing w:before="240" w:line="259" w:lineRule="auto"/>
      <w:jc w:val="left"/>
      <w:outlineLvl w:val="9"/>
    </w:pPr>
    <w:rPr>
      <w:rFonts w:ascii="Cambria" w:eastAsia="宋体" w:hAnsi="Cambria" w:cs="Times New Roman"/>
      <w:color w:val="366091"/>
      <w:kern w:val="0"/>
      <w:sz w:val="32"/>
      <w:szCs w:val="32"/>
    </w:rPr>
  </w:style>
  <w:style w:type="paragraph" w:customStyle="1" w:styleId="10">
    <w:name w:val="纯文本1"/>
    <w:basedOn w:val="a"/>
    <w:unhideWhenUsed/>
    <w:qFormat/>
    <w:rPr>
      <w:rFonts w:ascii="宋体" w:hAnsi="Courier New" w:hint="eastAsia"/>
    </w:rPr>
  </w:style>
  <w:style w:type="paragraph" w:customStyle="1" w:styleId="Default">
    <w:name w:val="Default"/>
    <w:qFormat/>
    <w:pPr>
      <w:widowControl w:val="0"/>
      <w:autoSpaceDE w:val="0"/>
      <w:autoSpaceDN w:val="0"/>
      <w:adjustRightInd w:val="0"/>
    </w:pPr>
    <w:rPr>
      <w:rFonts w:ascii="方正小标宋简体" w:eastAsia="方正小标宋简体" w:hAnsi="Calibri" w:cs="方正小标宋简体"/>
      <w:color w:val="000000"/>
      <w:sz w:val="24"/>
      <w:szCs w:val="24"/>
    </w:rPr>
  </w:style>
  <w:style w:type="paragraph" w:customStyle="1" w:styleId="GB231203528">
    <w:name w:val="样式 楷体_GB2312 三号 黑色 首行缩进:  0.35 厘米 字距调整四号 行距: 固定值 28 磅"/>
    <w:qFormat/>
    <w:pPr>
      <w:widowControl w:val="0"/>
      <w:ind w:firstLineChars="200" w:firstLine="200"/>
      <w:jc w:val="both"/>
    </w:pPr>
    <w:rPr>
      <w:rFonts w:ascii="楷体_GB2312" w:eastAsia="楷体_GB2312" w:hAnsi="楷体_GB2312"/>
      <w:color w:val="000000"/>
      <w:kern w:val="28"/>
      <w:sz w:val="21"/>
    </w:rPr>
  </w:style>
  <w:style w:type="paragraph" w:customStyle="1" w:styleId="BodyTextFirstIndent21">
    <w:name w:val="Body Text First Indent 21"/>
    <w:basedOn w:val="BodyTextIndent1"/>
    <w:uiPriority w:val="99"/>
    <w:qFormat/>
    <w:pPr>
      <w:ind w:firstLineChars="200" w:firstLine="420"/>
    </w:pPr>
    <w:rPr>
      <w:rFonts w:cs="黑体"/>
    </w:rPr>
  </w:style>
  <w:style w:type="paragraph" w:customStyle="1" w:styleId="BodyTextIndent1">
    <w:name w:val="Body Text Indent1"/>
    <w:basedOn w:val="a"/>
    <w:uiPriority w:val="99"/>
    <w:qFormat/>
    <w:pPr>
      <w:ind w:leftChars="200" w:left="420"/>
    </w:pPr>
    <w:rPr>
      <w:rFonts w:eastAsia="宋体" w:cs="Times New Roman"/>
    </w:rPr>
  </w:style>
  <w:style w:type="paragraph" w:customStyle="1" w:styleId="Char">
    <w:name w:val="Char"/>
    <w:basedOn w:val="a"/>
    <w:qFormat/>
    <w:rPr>
      <w:rFonts w:ascii="Times New Roman" w:hAnsi="Times New Roman"/>
      <w:sz w:val="24"/>
      <w:szCs w:val="24"/>
    </w:rPr>
  </w:style>
  <w:style w:type="paragraph" w:customStyle="1" w:styleId="UserStyle0">
    <w:name w:val="UserStyle_0"/>
    <w:qFormat/>
    <w:pPr>
      <w:textAlignment w:val="baseline"/>
    </w:pPr>
    <w:rPr>
      <w:rFonts w:ascii="黑体" w:eastAsia="黑体"/>
      <w:color w:val="000000"/>
      <w:sz w:val="24"/>
      <w:szCs w:val="24"/>
    </w:rPr>
  </w:style>
  <w:style w:type="paragraph" w:customStyle="1" w:styleId="BodyText1I2">
    <w:name w:val="BodyText1I2"/>
    <w:basedOn w:val="a"/>
    <w:qFormat/>
    <w:pPr>
      <w:spacing w:after="120"/>
      <w:ind w:leftChars="200" w:left="420" w:firstLineChars="200" w:firstLine="420"/>
      <w:textAlignment w:val="baseline"/>
    </w:pPr>
  </w:style>
  <w:style w:type="paragraph" w:customStyle="1" w:styleId="Style1">
    <w:name w:val="_Style 1"/>
    <w:basedOn w:val="a"/>
    <w:uiPriority w:val="99"/>
    <w:qFormat/>
    <w:pPr>
      <w:ind w:firstLineChars="200" w:firstLine="420"/>
    </w:pPr>
  </w:style>
  <w:style w:type="paragraph" w:customStyle="1" w:styleId="23">
    <w:name w:val="正文缩2"/>
    <w:basedOn w:val="a"/>
    <w:qFormat/>
    <w:pPr>
      <w:widowControl/>
      <w:spacing w:line="360" w:lineRule="auto"/>
      <w:ind w:firstLineChars="200" w:firstLine="480"/>
      <w:jc w:val="left"/>
    </w:pPr>
    <w:rPr>
      <w:sz w:val="24"/>
    </w:rPr>
  </w:style>
  <w:style w:type="paragraph" w:customStyle="1" w:styleId="Heading3">
    <w:name w:val="Heading3"/>
    <w:basedOn w:val="a"/>
    <w:next w:val="a"/>
    <w:qFormat/>
    <w:rPr>
      <w:rFonts w:cs="Calibri"/>
    </w:rPr>
  </w:style>
  <w:style w:type="paragraph" w:customStyle="1" w:styleId="UserStyle2">
    <w:name w:val="UserStyle_2"/>
    <w:basedOn w:val="a"/>
    <w:link w:val="NormalCharacter"/>
    <w:semiHidden/>
    <w:qFormat/>
    <w:pPr>
      <w:ind w:firstLineChars="200" w:firstLine="420"/>
    </w:pPr>
  </w:style>
  <w:style w:type="paragraph" w:styleId="af7">
    <w:name w:val="List Paragraph"/>
    <w:basedOn w:val="a"/>
    <w:uiPriority w:val="99"/>
    <w:unhideWhenUsed/>
    <w:qFormat/>
    <w:pPr>
      <w:ind w:firstLineChars="200" w:firstLine="420"/>
    </w:pPr>
    <w:rPr>
      <w:rFonts w:eastAsia="宋体"/>
    </w:rPr>
  </w:style>
  <w:style w:type="paragraph" w:customStyle="1" w:styleId="paragraph">
    <w:name w:val="paragraph"/>
    <w:basedOn w:val="a"/>
    <w:qFormat/>
    <w:pPr>
      <w:widowControl/>
      <w:spacing w:before="100" w:beforeAutospacing="1" w:after="100" w:afterAutospacing="1"/>
      <w:jc w:val="left"/>
    </w:pPr>
    <w:rPr>
      <w:rFonts w:ascii="宋体" w:eastAsia="宋体" w:hAnsi="宋体"/>
      <w:kern w:val="0"/>
      <w:sz w:val="24"/>
      <w:szCs w:val="24"/>
    </w:rPr>
  </w:style>
  <w:style w:type="paragraph" w:customStyle="1" w:styleId="ParaCharChar">
    <w:name w:val="默认段落字体 Para Char Char"/>
    <w:basedOn w:val="a"/>
    <w:qFormat/>
    <w:rPr>
      <w:rFonts w:ascii="Times New Roman" w:hAnsi="Times New Roman" w:cs="Times New Roman"/>
      <w:szCs w:val="24"/>
    </w:rPr>
  </w:style>
  <w:style w:type="paragraph" w:customStyle="1" w:styleId="Af8">
    <w:name w:val="正文 A"/>
    <w:qFormat/>
    <w:pPr>
      <w:widowControl w:val="0"/>
      <w:jc w:val="both"/>
    </w:pPr>
    <w:rPr>
      <w:rFonts w:ascii="Arial Unicode MS" w:eastAsia="Arial Unicode MS" w:hAnsi="Arial Unicode MS" w:cs="Arial Unicode MS" w:hint="eastAsia"/>
      <w:color w:val="000000"/>
      <w:kern w:val="2"/>
      <w:sz w:val="21"/>
      <w:szCs w:val="21"/>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0">
    <w:name w:val="正文_0"/>
    <w:qFormat/>
    <w:pPr>
      <w:widowControl w:val="0"/>
      <w:jc w:val="both"/>
    </w:pPr>
    <w:rPr>
      <w:kern w:val="2"/>
      <w:sz w:val="21"/>
      <w:szCs w:val="24"/>
    </w:rPr>
  </w:style>
  <w:style w:type="paragraph" w:customStyle="1" w:styleId="11">
    <w:name w:val="正文_1"/>
    <w:qFormat/>
    <w:pPr>
      <w:widowControl w:val="0"/>
      <w:jc w:val="both"/>
    </w:pPr>
    <w:rPr>
      <w:rFonts w:ascii="Calibri" w:hAnsi="Calibri"/>
      <w:kern w:val="2"/>
      <w:sz w:val="21"/>
      <w:szCs w:val="24"/>
    </w:rPr>
  </w:style>
  <w:style w:type="character" w:customStyle="1" w:styleId="NormalCharacter">
    <w:name w:val="NormalCharacter"/>
    <w:link w:val="UserStyle2"/>
    <w:qFormat/>
  </w:style>
  <w:style w:type="character" w:customStyle="1" w:styleId="font61">
    <w:name w:val="font61"/>
    <w:basedOn w:val="a1"/>
    <w:qFormat/>
    <w:rPr>
      <w:rFonts w:ascii="方正小标宋简体" w:eastAsia="方正小标宋简体" w:hAnsi="方正小标宋简体" w:cs="方正小标宋简体" w:hint="eastAsia"/>
      <w:color w:val="000000"/>
      <w:sz w:val="44"/>
      <w:szCs w:val="44"/>
      <w:u w:val="none"/>
    </w:rPr>
  </w:style>
  <w:style w:type="character" w:customStyle="1" w:styleId="UserStyle66">
    <w:name w:val="UserStyle_66"/>
    <w:semiHidden/>
    <w:qFormat/>
  </w:style>
  <w:style w:type="character" w:customStyle="1" w:styleId="fontstyle01">
    <w:name w:val="fontstyle01"/>
    <w:basedOn w:val="a1"/>
    <w:qFormat/>
    <w:rPr>
      <w:rFonts w:ascii="仿宋" w:eastAsia="仿宋" w:hAnsi="仿宋" w:cs="仿宋"/>
      <w:color w:val="000000"/>
      <w:sz w:val="32"/>
      <w:szCs w:val="32"/>
    </w:rPr>
  </w:style>
  <w:style w:type="character" w:customStyle="1" w:styleId="font41">
    <w:name w:val="font41"/>
    <w:basedOn w:val="a1"/>
    <w:qFormat/>
    <w:rPr>
      <w:rFonts w:ascii="方正小标宋简体" w:eastAsia="方正小标宋简体" w:hAnsi="方正小标宋简体" w:cs="方正小标宋简体" w:hint="eastAsia"/>
      <w:color w:val="000000"/>
      <w:sz w:val="44"/>
      <w:szCs w:val="44"/>
      <w:u w:val="none"/>
    </w:rPr>
  </w:style>
  <w:style w:type="character" w:customStyle="1" w:styleId="bjh-p">
    <w:name w:val="bjh-p"/>
    <w:basedOn w:val="a1"/>
    <w:qFormat/>
  </w:style>
  <w:style w:type="character" w:customStyle="1" w:styleId="20">
    <w:name w:val="标题 2 字符"/>
    <w:link w:val="2"/>
    <w:qFormat/>
    <w:rPr>
      <w:rFonts w:ascii="Calibri Light" w:eastAsia="黑体" w:hAnsi="Calibri Light"/>
      <w:bCs/>
      <w:sz w:val="30"/>
    </w:rPr>
  </w:style>
  <w:style w:type="paragraph" w:customStyle="1" w:styleId="12">
    <w:name w:val="修订1"/>
    <w:hidden/>
    <w:uiPriority w:val="99"/>
    <w:semiHidden/>
    <w:qFormat/>
    <w:rPr>
      <w:rFonts w:ascii="Calibri" w:eastAsia="仿宋_GB2312" w:hAnsi="Calibri" w:cs="宋体"/>
      <w:kern w:val="2"/>
      <w:sz w:val="32"/>
      <w:szCs w:val="32"/>
    </w:rPr>
  </w:style>
  <w:style w:type="paragraph" w:styleId="af9">
    <w:name w:val="Revision"/>
    <w:hidden/>
    <w:uiPriority w:val="99"/>
    <w:semiHidden/>
    <w:rsid w:val="003208CA"/>
    <w:rPr>
      <w:rFonts w:ascii="Calibri" w:eastAsia="仿宋_GB2312" w:hAnsi="Calibri" w:cs="宋体"/>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baidu.com/item/%E4%B8%BB%E9%A2%98%E5%85%AC%E5%9B%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baidu.com/item/%E5%BA%B7%E4%B9%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aike.baidu.com/item/%E5%9C%B0%E8%B4%A8%E5%85%AC%E5%9B%A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市应急管理局转发广东省应急管理厅关于做好2019年节假日值班工作的通知</dc:title>
  <dc:creator>邹瑜玲</dc:creator>
  <cp:lastModifiedBy>蒋 东霖</cp:lastModifiedBy>
  <cp:revision>3</cp:revision>
  <cp:lastPrinted>2019-02-02T15:01:00Z</cp:lastPrinted>
  <dcterms:created xsi:type="dcterms:W3CDTF">2022-11-21T09:21:00Z</dcterms:created>
  <dcterms:modified xsi:type="dcterms:W3CDTF">2022-11-28T02:13:00Z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