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jc w:val="center"/>
        <w:textAlignment w:val="baseline"/>
        <w:rPr>
          <w:rFonts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w:t>
      </w:r>
      <w:r>
        <w:rPr>
          <w:rFonts w:hint="eastAsia" w:ascii="方正小标宋简体" w:hAnsi="方正小标宋简体" w:eastAsia="方正小标宋简体" w:cs="方正小标宋简体"/>
          <w:bCs/>
          <w:color w:val="auto"/>
          <w:sz w:val="48"/>
          <w:szCs w:val="48"/>
        </w:rPr>
        <w:t>深圳市安全教育基地评定指引（征求意见稿）</w:t>
      </w:r>
      <w:r>
        <w:rPr>
          <w:rFonts w:hint="eastAsia" w:ascii="方正小标宋简体" w:hAnsi="方正小标宋简体" w:eastAsia="方正小标宋简体" w:cs="方正小标宋简体"/>
          <w:bCs/>
          <w:sz w:val="48"/>
          <w:szCs w:val="48"/>
        </w:rPr>
        <w:t>》</w:t>
      </w: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ascii="Arial"/>
          <w:sz w:val="21"/>
        </w:rPr>
      </w:pPr>
      <w:r>
        <w:rPr>
          <w:rFonts w:hint="eastAsia" w:ascii="方正小标宋简体" w:hAnsi="方正小标宋简体" w:eastAsia="方正小标宋简体" w:cs="方正小标宋简体"/>
          <w:bCs/>
          <w:sz w:val="48"/>
          <w:szCs w:val="48"/>
        </w:rPr>
        <w:t>听证会意见和建议的采纳情况说明</w:t>
      </w:r>
    </w:p>
    <w:p>
      <w:pPr>
        <w:rPr>
          <w:vertAlign w:val="baseline"/>
        </w:rPr>
      </w:pPr>
    </w:p>
    <w:tbl>
      <w:tblPr>
        <w:tblStyle w:val="4"/>
        <w:tblW w:w="1561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950"/>
        <w:gridCol w:w="6725"/>
        <w:gridCol w:w="1050"/>
        <w:gridCol w:w="5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trPr>
        <w:tc>
          <w:tcPr>
            <w:tcW w:w="631"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lang w:val="en-US" w:eastAsia="zh-CN"/>
              </w:rPr>
              <w:t>序号</w:t>
            </w:r>
          </w:p>
        </w:tc>
        <w:tc>
          <w:tcPr>
            <w:tcW w:w="19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lang w:val="en-US" w:eastAsia="zh-CN"/>
              </w:rPr>
              <w:t>提出意见建议的单位和人员</w:t>
            </w:r>
          </w:p>
        </w:tc>
        <w:tc>
          <w:tcPr>
            <w:tcW w:w="6725"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lang w:val="en-US" w:eastAsia="zh-CN"/>
              </w:rPr>
              <w:t>具体意见或建议</w:t>
            </w:r>
          </w:p>
        </w:tc>
        <w:tc>
          <w:tcPr>
            <w:tcW w:w="1050"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sz w:val="28"/>
                <w:szCs w:val="28"/>
                <w:vertAlign w:val="baseline"/>
                <w:lang w:val="en-US" w:eastAsia="zh-CN"/>
              </w:rPr>
            </w:pPr>
            <w:r>
              <w:rPr>
                <w:rFonts w:hint="eastAsia" w:asciiTheme="minorEastAsia" w:hAnsiTheme="minorEastAsia" w:eastAsiaTheme="minorEastAsia" w:cstheme="minorEastAsia"/>
                <w:b/>
                <w:bCs/>
                <w:sz w:val="28"/>
                <w:szCs w:val="28"/>
                <w:vertAlign w:val="baseline"/>
                <w:lang w:val="en-US" w:eastAsia="zh-CN"/>
              </w:rPr>
              <w:t>采纳情况</w:t>
            </w:r>
          </w:p>
        </w:tc>
        <w:tc>
          <w:tcPr>
            <w:tcW w:w="5263" w:type="dxa"/>
            <w:vAlign w:val="center"/>
          </w:tcPr>
          <w:p>
            <w:pPr>
              <w:keepNext w:val="0"/>
              <w:keepLines w:val="0"/>
              <w:pageBreakBefore w:val="0"/>
              <w:widowControl w:val="0"/>
              <w:kinsoku w:val="0"/>
              <w:wordWrap/>
              <w:overflowPunct/>
              <w:topLinePunct w:val="0"/>
              <w:autoSpaceDE w:val="0"/>
              <w:autoSpaceDN w:val="0"/>
              <w:bidi w:val="0"/>
              <w:adjustRightInd w:val="0"/>
              <w:snapToGrid w:val="0"/>
              <w:spacing w:line="320" w:lineRule="exact"/>
              <w:jc w:val="center"/>
              <w:textAlignment w:val="baseline"/>
              <w:rPr>
                <w:rFonts w:hint="eastAsia" w:asciiTheme="minorEastAsia" w:hAnsiTheme="minorEastAsia" w:eastAsiaTheme="minorEastAsia" w:cstheme="minorEastAsia"/>
                <w:b/>
                <w:bCs/>
                <w:sz w:val="28"/>
                <w:szCs w:val="28"/>
                <w:vertAlign w:val="baseline"/>
              </w:rPr>
            </w:pPr>
            <w:r>
              <w:rPr>
                <w:rFonts w:hint="eastAsia" w:asciiTheme="minorEastAsia" w:hAnsiTheme="minorEastAsia" w:eastAsiaTheme="minorEastAsia" w:cstheme="minorEastAsia"/>
                <w:b/>
                <w:bCs/>
                <w:sz w:val="28"/>
                <w:szCs w:val="28"/>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9" w:hRule="atLeast"/>
        </w:trPr>
        <w:tc>
          <w:tcPr>
            <w:tcW w:w="631" w:type="dxa"/>
            <w:vAlign w:val="center"/>
          </w:tcPr>
          <w:p>
            <w:pPr>
              <w:widowControl w:val="0"/>
              <w:spacing w:line="240" w:lineRule="auto"/>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b w:val="0"/>
                <w:bCs/>
                <w:kern w:val="0"/>
                <w:sz w:val="24"/>
                <w:szCs w:val="24"/>
                <w:lang w:val="en-US" w:eastAsia="zh-CN"/>
              </w:rPr>
              <w:t>叶锦波</w:t>
            </w:r>
          </w:p>
        </w:tc>
        <w:tc>
          <w:tcPr>
            <w:tcW w:w="6725" w:type="dxa"/>
            <w:vAlign w:val="center"/>
          </w:tcPr>
          <w:p>
            <w:pPr>
              <w:pStyle w:val="2"/>
              <w:spacing w:line="240" w:lineRule="auto"/>
              <w:ind w:left="0" w:leftChars="0" w:firstLine="480" w:firstLineChars="200"/>
              <w:jc w:val="left"/>
              <w:rPr>
                <w:rFonts w:hint="eastAsia" w:ascii="仿宋_GB2312" w:hAnsi="仿宋_GB2312" w:eastAsia="仿宋_GB2312" w:cs="仿宋_GB2312"/>
                <w:snapToGrid w:val="0"/>
                <w:color w:val="000000"/>
                <w:spacing w:val="2"/>
                <w:kern w:val="0"/>
                <w:sz w:val="24"/>
                <w:szCs w:val="24"/>
                <w:lang w:val="en-US" w:eastAsia="zh-CN"/>
              </w:rPr>
            </w:pPr>
            <w:r>
              <w:rPr>
                <w:rFonts w:hint="eastAsia" w:ascii="仿宋_GB2312" w:hAnsi="仿宋_GB2312" w:eastAsia="仿宋_GB2312" w:cs="仿宋_GB2312"/>
                <w:b w:val="0"/>
                <w:bCs w:val="0"/>
                <w:color w:val="000000"/>
                <w:sz w:val="24"/>
                <w:szCs w:val="24"/>
                <w:lang w:val="en-US" w:eastAsia="zh-CN"/>
              </w:rPr>
              <w:t>《指引》第二项“评定范围程序”第六块授牌这里“满三年后，对申请延续称号的科普教育基地进行复核评审和实地考察，复核合格的单位继续延续基地等级称号。建议修改为“对申请延续称号的科普教育基地进行复核评审、实地考察和级别认定，复核合格的单位继续延续安全教育基地称号。”</w:t>
            </w:r>
          </w:p>
        </w:tc>
        <w:tc>
          <w:tcPr>
            <w:tcW w:w="1050" w:type="dxa"/>
            <w:vAlign w:val="center"/>
          </w:tcPr>
          <w:p>
            <w:pPr>
              <w:widowControl w:val="0"/>
              <w:spacing w:line="240" w:lineRule="auto"/>
              <w:jc w:val="center"/>
              <w:rPr>
                <w:rFonts w:hint="default" w:ascii="仿宋_GB2312" w:hAnsi="仿宋_GB2312" w:eastAsia="仿宋_GB2312" w:cs="仿宋_GB2312"/>
                <w:snapToGrid w:val="0"/>
                <w:color w:val="000000"/>
                <w:spacing w:val="2"/>
                <w:kern w:val="0"/>
                <w:sz w:val="24"/>
                <w:szCs w:val="24"/>
                <w:lang w:val="en-US" w:eastAsia="zh-CN" w:bidi="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0" w:firstLineChars="200"/>
              <w:jc w:val="left"/>
              <w:rPr>
                <w:rFonts w:hint="default" w:eastAsia="宋体"/>
                <w:sz w:val="24"/>
                <w:szCs w:val="24"/>
                <w:vertAlign w:val="baseline"/>
                <w:lang w:val="en-US" w:eastAsia="zh-CN"/>
              </w:rPr>
            </w:pPr>
            <w:r>
              <w:rPr>
                <w:rFonts w:hint="eastAsia" w:ascii="仿宋_GB2312" w:hAnsi="仿宋_GB2312" w:eastAsia="仿宋_GB2312" w:cs="仿宋_GB2312"/>
                <w:b w:val="0"/>
                <w:bCs w:val="0"/>
                <w:snapToGrid/>
                <w:color w:val="auto"/>
                <w:kern w:val="2"/>
                <w:sz w:val="24"/>
                <w:szCs w:val="24"/>
                <w:lang w:val="en-US" w:eastAsia="zh-CN" w:bidi="zh-CN"/>
              </w:rPr>
              <w:t>已将该项表述调整为“</w:t>
            </w:r>
            <w:r>
              <w:rPr>
                <w:rFonts w:hint="default" w:ascii="仿宋_GB2312" w:hAnsi="仿宋_GB2312" w:eastAsia="仿宋_GB2312" w:cs="仿宋_GB2312"/>
                <w:b w:val="0"/>
                <w:bCs w:val="0"/>
                <w:snapToGrid/>
                <w:color w:val="auto"/>
                <w:kern w:val="2"/>
                <w:sz w:val="24"/>
                <w:szCs w:val="24"/>
                <w:lang w:val="en-US" w:eastAsia="zh-CN" w:bidi="zh-CN"/>
              </w:rPr>
              <w:t>市应急管理局对公示无异议或经消除异议的单位正式授予称号，并予以授牌，称号有效期3年，通过局门户网站上向社会公告。称号到期前</w:t>
            </w:r>
            <w:r>
              <w:rPr>
                <w:rFonts w:hint="eastAsia" w:ascii="仿宋_GB2312" w:hAnsi="仿宋_GB2312" w:eastAsia="仿宋_GB2312" w:cs="仿宋_GB2312"/>
                <w:b w:val="0"/>
                <w:bCs w:val="0"/>
                <w:snapToGrid/>
                <w:color w:val="auto"/>
                <w:kern w:val="2"/>
                <w:sz w:val="24"/>
                <w:szCs w:val="24"/>
                <w:lang w:val="en-US" w:eastAsia="zh-CN" w:bidi="zh-CN"/>
              </w:rPr>
              <w:t>3</w:t>
            </w:r>
            <w:r>
              <w:rPr>
                <w:rFonts w:hint="default" w:ascii="仿宋_GB2312" w:hAnsi="仿宋_GB2312" w:eastAsia="仿宋_GB2312" w:cs="仿宋_GB2312"/>
                <w:b w:val="0"/>
                <w:bCs w:val="0"/>
                <w:snapToGrid/>
                <w:color w:val="auto"/>
                <w:kern w:val="2"/>
                <w:sz w:val="24"/>
                <w:szCs w:val="24"/>
                <w:lang w:val="en-US" w:eastAsia="zh-CN" w:bidi="zh-CN"/>
              </w:rPr>
              <w:t>个月，对申请延续称号的科普教育基地进行复核评审、实地考察和级别认定，根据复核情况进行动态调整。</w:t>
            </w:r>
            <w:r>
              <w:rPr>
                <w:rFonts w:hint="eastAsia" w:ascii="仿宋_GB2312" w:hAnsi="仿宋_GB2312" w:eastAsia="仿宋_GB2312" w:cs="仿宋_GB2312"/>
                <w:b w:val="0"/>
                <w:bCs w:val="0"/>
                <w:snapToGrid/>
                <w:color w:val="auto"/>
                <w:kern w:val="2"/>
                <w:sz w:val="24"/>
                <w:szCs w:val="24"/>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kern w:val="0"/>
                <w:sz w:val="24"/>
                <w:szCs w:val="24"/>
                <w:lang w:val="en-US" w:eastAsia="zh-CN"/>
              </w:rPr>
              <w:t>朱玮佳</w:t>
            </w:r>
          </w:p>
        </w:tc>
        <w:tc>
          <w:tcPr>
            <w:tcW w:w="6725" w:type="dxa"/>
            <w:vAlign w:val="center"/>
          </w:tcPr>
          <w:p>
            <w:pPr>
              <w:pStyle w:val="2"/>
              <w:numPr>
                <w:ilvl w:val="0"/>
                <w:numId w:val="0"/>
              </w:numPr>
              <w:spacing w:line="240" w:lineRule="auto"/>
              <w:ind w:firstLine="480" w:firstLineChars="200"/>
              <w:jc w:val="left"/>
              <w:rPr>
                <w:rFonts w:hint="eastAsia" w:ascii="仿宋_GB2312" w:hAnsi="仿宋_GB2312" w:eastAsia="仿宋_GB2312" w:cs="仿宋_GB2312"/>
                <w:color w:val="auto"/>
                <w:sz w:val="24"/>
                <w:szCs w:val="24"/>
                <w:vertAlign w:val="baseline"/>
                <w:lang w:val="en-US"/>
              </w:rPr>
            </w:pPr>
            <w:r>
              <w:rPr>
                <w:rFonts w:hint="eastAsia" w:ascii="仿宋_GB2312" w:hAnsi="仿宋_GB2312" w:eastAsia="仿宋_GB2312" w:cs="仿宋_GB2312"/>
                <w:b w:val="0"/>
                <w:bCs w:val="0"/>
                <w:color w:val="auto"/>
                <w:sz w:val="24"/>
                <w:szCs w:val="24"/>
                <w:lang w:val="en-US" w:eastAsia="zh-CN"/>
              </w:rPr>
              <w:t>《指引》第二项“评定范围和程序”里面第七块管理这里“获得授牌的安全教育基地应当制定年度科普活动工作计划，并于每年12月31日前向市应急管理局报送本年度的科普活动工作总结和下一年的科普活动工作计划。”该条目中应明确每年应组织不同类型的教育科普活动不少于两次。</w:t>
            </w:r>
          </w:p>
        </w:tc>
        <w:tc>
          <w:tcPr>
            <w:tcW w:w="1050" w:type="dxa"/>
            <w:vAlign w:val="center"/>
          </w:tcPr>
          <w:p>
            <w:pPr>
              <w:widowControl w:val="0"/>
              <w:spacing w:line="240" w:lineRule="auto"/>
              <w:jc w:val="center"/>
              <w:rPr>
                <w:sz w:val="24"/>
                <w:szCs w:val="24"/>
                <w:vertAlign w:val="baseline"/>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0" w:firstLineChars="200"/>
              <w:jc w:val="left"/>
              <w:rPr>
                <w:rFonts w:hint="default" w:eastAsia="宋体"/>
                <w:sz w:val="24"/>
                <w:szCs w:val="24"/>
                <w:vertAlign w:val="baseline"/>
                <w:lang w:val="en-US" w:eastAsia="zh-CN"/>
              </w:rPr>
            </w:pPr>
            <w:r>
              <w:rPr>
                <w:rFonts w:hint="eastAsia" w:ascii="仿宋_GB2312" w:hAnsi="仿宋_GB2312" w:eastAsia="仿宋_GB2312" w:cs="仿宋_GB2312"/>
                <w:b w:val="0"/>
                <w:bCs w:val="0"/>
                <w:snapToGrid/>
                <w:color w:val="auto"/>
                <w:kern w:val="2"/>
                <w:sz w:val="24"/>
                <w:szCs w:val="24"/>
                <w:lang w:val="en-US" w:eastAsia="zh-CN" w:bidi="zh-CN"/>
              </w:rPr>
              <w:t>已将该项表述调整为“</w:t>
            </w:r>
            <w:r>
              <w:rPr>
                <w:rFonts w:hint="default" w:ascii="仿宋_GB2312" w:hAnsi="仿宋_GB2312" w:eastAsia="仿宋_GB2312" w:cs="仿宋_GB2312"/>
                <w:b w:val="0"/>
                <w:bCs w:val="0"/>
                <w:snapToGrid/>
                <w:color w:val="auto"/>
                <w:kern w:val="2"/>
                <w:sz w:val="24"/>
                <w:szCs w:val="24"/>
                <w:lang w:val="en-US" w:eastAsia="zh-CN" w:bidi="zh-CN"/>
              </w:rPr>
              <w:t>获得授牌的安全教育基地，需制定年度科普活动工作计划，每年组织不同类型的教育科普活动不少于2次，并于次年1月30日前向市应急管理局报送本年度的科普活动工作总结和下一年度科普活动工作计划。</w:t>
            </w:r>
            <w:r>
              <w:rPr>
                <w:rFonts w:hint="eastAsia" w:ascii="仿宋_GB2312" w:hAnsi="仿宋_GB2312" w:eastAsia="仿宋_GB2312" w:cs="仿宋_GB2312"/>
                <w:b w:val="0"/>
                <w:bCs w:val="0"/>
                <w:snapToGrid/>
                <w:color w:val="auto"/>
                <w:kern w:val="2"/>
                <w:sz w:val="24"/>
                <w:szCs w:val="24"/>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950" w:type="dxa"/>
            <w:vAlign w:val="center"/>
          </w:tcPr>
          <w:p>
            <w:pPr>
              <w:widowControl w:val="0"/>
              <w:spacing w:line="240" w:lineRule="auto"/>
              <w:jc w:val="center"/>
              <w:rPr>
                <w:rFonts w:hint="eastAsia" w:ascii="仿宋_GB2312" w:hAnsi="仿宋_GB2312" w:eastAsia="仿宋_GB2312" w:cs="仿宋_GB2312"/>
                <w:b w:val="0"/>
                <w:bCs w:val="0"/>
                <w:spacing w:val="2"/>
                <w:sz w:val="24"/>
                <w:szCs w:val="24"/>
              </w:rPr>
            </w:pPr>
            <w:r>
              <w:rPr>
                <w:rFonts w:hint="eastAsia" w:ascii="仿宋_GB2312" w:hAnsi="仿宋_GB2312" w:eastAsia="仿宋_GB2312" w:cs="仿宋_GB2312"/>
                <w:b w:val="0"/>
                <w:bCs w:val="0"/>
                <w:spacing w:val="2"/>
                <w:sz w:val="24"/>
                <w:szCs w:val="24"/>
              </w:rPr>
              <w:t>听证参加人</w:t>
            </w:r>
          </w:p>
          <w:p>
            <w:pPr>
              <w:widowControl w:val="0"/>
              <w:spacing w:line="240" w:lineRule="auto"/>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lang w:val="en-US" w:eastAsia="zh-CN"/>
              </w:rPr>
              <w:t>王敏英</w:t>
            </w:r>
          </w:p>
        </w:tc>
        <w:tc>
          <w:tcPr>
            <w:tcW w:w="6725" w:type="dxa"/>
            <w:vAlign w:val="center"/>
          </w:tcPr>
          <w:p>
            <w:pPr>
              <w:pStyle w:val="2"/>
              <w:numPr>
                <w:ilvl w:val="0"/>
                <w:numId w:val="0"/>
              </w:numPr>
              <w:spacing w:line="240" w:lineRule="auto"/>
              <w:ind w:firstLine="480" w:firstLineChars="200"/>
              <w:jc w:val="left"/>
              <w:rPr>
                <w:rFonts w:hint="eastAsia" w:ascii="仿宋_GB2312" w:hAnsi="仿宋_GB2312" w:eastAsia="仿宋_GB2312" w:cs="仿宋_GB2312"/>
                <w:b w:val="0"/>
                <w:bCs w:val="0"/>
                <w:snapToGrid w:val="0"/>
                <w:color w:val="auto"/>
                <w:spacing w:val="2"/>
                <w:kern w:val="0"/>
                <w:sz w:val="24"/>
                <w:szCs w:val="24"/>
                <w:lang w:val="en-US" w:eastAsia="zh-CN"/>
              </w:rPr>
            </w:pPr>
            <w:r>
              <w:rPr>
                <w:rFonts w:hint="eastAsia" w:ascii="仿宋_GB2312" w:hAnsi="仿宋_GB2312" w:eastAsia="仿宋_GB2312" w:cs="仿宋_GB2312"/>
                <w:b w:val="0"/>
                <w:bCs w:val="0"/>
                <w:color w:val="auto"/>
                <w:sz w:val="24"/>
                <w:szCs w:val="24"/>
                <w:lang w:val="en-US" w:eastAsia="zh-CN"/>
              </w:rPr>
              <w:t>一是《指引》第三项中的运营团队部分，这里的专业讲解人员，修改为安全教员更贴符合身份。因为安全知识它是需要有一个经历的，而讲解它只是一种事实的陈述，应当是有所区别的。所以建议统一称呼为安全教员。</w:t>
            </w:r>
            <w:r>
              <w:rPr>
                <w:rFonts w:hint="eastAsia" w:ascii="仿宋_GB2312" w:hAnsi="仿宋_GB2312" w:eastAsia="仿宋_GB2312" w:cs="仿宋_GB2312"/>
                <w:b w:val="0"/>
                <w:bCs w:val="0"/>
                <w:color w:val="auto"/>
                <w:sz w:val="24"/>
                <w:szCs w:val="24"/>
                <w:lang w:val="en-US" w:eastAsia="zh-CN"/>
              </w:rPr>
              <w:br w:type="textWrapping"/>
            </w:r>
            <w:r>
              <w:rPr>
                <w:rFonts w:hint="eastAsia" w:ascii="仿宋_GB2312" w:hAnsi="仿宋_GB2312" w:eastAsia="仿宋_GB2312" w:cs="仿宋_GB2312"/>
                <w:b w:val="0"/>
                <w:bCs w:val="0"/>
                <w:color w:val="auto"/>
                <w:sz w:val="24"/>
                <w:szCs w:val="24"/>
                <w:lang w:val="en-US" w:eastAsia="zh-CN"/>
              </w:rPr>
              <w:t xml:space="preserve">   二是关于资质的确认，建议该项的资质说明。</w:t>
            </w:r>
          </w:p>
        </w:tc>
        <w:tc>
          <w:tcPr>
            <w:tcW w:w="1050" w:type="dxa"/>
            <w:vAlign w:val="center"/>
          </w:tcPr>
          <w:p>
            <w:pPr>
              <w:widowControl w:val="0"/>
              <w:spacing w:line="240" w:lineRule="auto"/>
              <w:jc w:val="center"/>
              <w:rPr>
                <w:rFonts w:hint="eastAsia" w:eastAsia="宋体"/>
                <w:sz w:val="24"/>
                <w:szCs w:val="24"/>
                <w:vertAlign w:val="baseline"/>
                <w:lang w:eastAsia="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0" w:firstLineChars="200"/>
              <w:jc w:val="left"/>
              <w:rPr>
                <w:rFonts w:hint="default" w:eastAsia="宋体"/>
                <w:sz w:val="24"/>
                <w:szCs w:val="24"/>
                <w:vertAlign w:val="baseline"/>
                <w:lang w:val="en-US" w:eastAsia="zh-CN"/>
              </w:rPr>
            </w:pPr>
            <w:r>
              <w:rPr>
                <w:rFonts w:hint="eastAsia" w:ascii="仿宋_GB2312" w:hAnsi="仿宋_GB2312" w:eastAsia="仿宋_GB2312" w:cs="仿宋_GB2312"/>
                <w:b w:val="0"/>
                <w:bCs w:val="0"/>
                <w:snapToGrid/>
                <w:color w:val="auto"/>
                <w:kern w:val="2"/>
                <w:sz w:val="24"/>
                <w:szCs w:val="24"/>
                <w:lang w:val="en-US" w:eastAsia="zh-CN" w:bidi="zh-CN"/>
              </w:rPr>
              <w:t>已将该项表述调整为“</w:t>
            </w:r>
            <w:r>
              <w:rPr>
                <w:rFonts w:hint="eastAsia" w:ascii="仿宋_GB2312" w:hAnsi="仿宋_GB2312" w:eastAsia="仿宋_GB2312" w:cs="仿宋_GB2312"/>
                <w:b w:val="0"/>
                <w:bCs w:val="0"/>
                <w:snapToGrid w:val="0"/>
                <w:color w:val="000000"/>
                <w:spacing w:val="2"/>
                <w:kern w:val="0"/>
                <w:sz w:val="24"/>
                <w:szCs w:val="24"/>
                <w:lang w:val="en-US" w:eastAsia="zh-CN" w:bidi="zh-CN"/>
              </w:rPr>
              <w:t>按照安全教育基地级别：市级安全教育基地、区级安全教育基地、街道级安全教育基地需配有面向中小学生、普通市民、各行业从业人员等不同群体的讲解团队、安全教员等，成员需取得至少一项有关安全方面专业资质或从事过安全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7"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highlight w:val="none"/>
              </w:rPr>
            </w:pPr>
            <w:r>
              <w:rPr>
                <w:rFonts w:hint="eastAsia" w:ascii="仿宋_GB2312" w:hAnsi="仿宋_GB2312" w:eastAsia="仿宋_GB2312" w:cs="仿宋_GB2312"/>
                <w:spacing w:val="2"/>
                <w:sz w:val="24"/>
                <w:szCs w:val="24"/>
                <w:highlight w:val="none"/>
              </w:rPr>
              <w:t>听证参加人</w:t>
            </w:r>
          </w:p>
          <w:p>
            <w:pPr>
              <w:widowControl w:val="0"/>
              <w:spacing w:line="24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kern w:val="0"/>
                <w:sz w:val="24"/>
                <w:szCs w:val="24"/>
                <w:highlight w:val="none"/>
                <w:lang w:val="en-US" w:eastAsia="zh-CN"/>
              </w:rPr>
              <w:t>周琼妹</w:t>
            </w:r>
          </w:p>
        </w:tc>
        <w:tc>
          <w:tcPr>
            <w:tcW w:w="6725" w:type="dxa"/>
            <w:vAlign w:val="center"/>
          </w:tcPr>
          <w:p>
            <w:pPr>
              <w:widowControl w:val="0"/>
              <w:spacing w:line="240" w:lineRule="auto"/>
              <w:jc w:val="left"/>
              <w:rPr>
                <w:rFonts w:hint="eastAsia" w:ascii="Times New Roman" w:hAnsi="Times New Roman" w:eastAsia="仿宋_GB2312" w:cs="Times New Roman"/>
                <w:snapToGrid/>
                <w:color w:val="auto"/>
                <w:kern w:val="2"/>
                <w:sz w:val="24"/>
                <w:szCs w:val="24"/>
                <w:highlight w:val="none"/>
                <w:lang w:val="en-US" w:eastAsia="zh-CN" w:bidi="zh-CN"/>
              </w:rPr>
            </w:pPr>
            <w:r>
              <w:rPr>
                <w:rFonts w:hint="eastAsia" w:ascii="Times New Roman" w:hAnsi="Times New Roman" w:eastAsia="仿宋_GB2312" w:cs="Times New Roman"/>
                <w:snapToGrid/>
                <w:color w:val="auto"/>
                <w:kern w:val="2"/>
                <w:sz w:val="24"/>
                <w:szCs w:val="24"/>
                <w:highlight w:val="none"/>
                <w:lang w:val="en-US" w:eastAsia="zh-CN" w:bidi="zh-CN"/>
              </w:rPr>
              <w:t xml:space="preserve">    </w:t>
            </w:r>
            <w:r>
              <w:rPr>
                <w:rFonts w:hint="eastAsia" w:ascii="仿宋_GB2312" w:hAnsi="仿宋_GB2312" w:eastAsia="仿宋_GB2312" w:cs="仿宋_GB2312"/>
                <w:b w:val="0"/>
                <w:bCs w:val="0"/>
                <w:snapToGrid/>
                <w:color w:val="auto"/>
                <w:kern w:val="2"/>
                <w:sz w:val="24"/>
                <w:szCs w:val="24"/>
                <w:lang w:val="en-US" w:eastAsia="zh-CN" w:bidi="zh-CN"/>
              </w:rPr>
              <w:t>《指引》第三项中的运营团队部分中的“市级安全教育基地、区级安全教育基地、街道级安全教育基地均需配有持证救护人员及专业物业管理人员。”请问这里提到的持证救护人员除了医院、红十字会的急救证，还有哪些证？</w:t>
            </w:r>
          </w:p>
        </w:tc>
        <w:tc>
          <w:tcPr>
            <w:tcW w:w="1050" w:type="dxa"/>
            <w:vAlign w:val="center"/>
          </w:tcPr>
          <w:p>
            <w:pPr>
              <w:widowControl w:val="0"/>
              <w:spacing w:line="240" w:lineRule="auto"/>
              <w:jc w:val="center"/>
              <w:rPr>
                <w:rFonts w:hint="default" w:eastAsia="宋体"/>
                <w:sz w:val="24"/>
                <w:szCs w:val="24"/>
                <w:vertAlign w:val="baseline"/>
                <w:lang w:val="en-US" w:eastAsia="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0" w:firstLineChars="200"/>
              <w:jc w:val="left"/>
              <w:rPr>
                <w:rFonts w:hint="default" w:eastAsia="宋体"/>
                <w:sz w:val="24"/>
                <w:szCs w:val="24"/>
                <w:vertAlign w:val="baseline"/>
                <w:lang w:val="en-US" w:eastAsia="zh-CN"/>
              </w:rPr>
            </w:pPr>
            <w:r>
              <w:rPr>
                <w:rFonts w:hint="eastAsia" w:ascii="仿宋_GB2312" w:hAnsi="仿宋_GB2312" w:eastAsia="仿宋_GB2312" w:cs="仿宋_GB2312"/>
                <w:b w:val="0"/>
                <w:bCs w:val="0"/>
                <w:snapToGrid/>
                <w:color w:val="auto"/>
                <w:kern w:val="2"/>
                <w:sz w:val="24"/>
                <w:szCs w:val="24"/>
                <w:lang w:val="en-US" w:eastAsia="zh-CN" w:bidi="zh-CN"/>
              </w:rPr>
              <w:t>1.除了医院、红十字会颁发的急救证外，还有美国心脏协会（AHA）和欧洲复苏委员会（ERC）颁发的急救证。</w:t>
            </w:r>
            <w:r>
              <w:rPr>
                <w:rFonts w:hint="eastAsia" w:ascii="仿宋_GB2312" w:hAnsi="仿宋_GB2312" w:eastAsia="仿宋_GB2312" w:cs="仿宋_GB2312"/>
                <w:b w:val="0"/>
                <w:bCs w:val="0"/>
                <w:snapToGrid/>
                <w:color w:val="auto"/>
                <w:kern w:val="2"/>
                <w:sz w:val="24"/>
                <w:szCs w:val="24"/>
                <w:lang w:val="en-US" w:eastAsia="zh-CN" w:bidi="zh-CN"/>
              </w:rPr>
              <w:br w:type="textWrapping"/>
            </w:r>
            <w:r>
              <w:rPr>
                <w:rFonts w:hint="eastAsia" w:ascii="仿宋_GB2312" w:hAnsi="仿宋_GB2312" w:eastAsia="仿宋_GB2312" w:cs="仿宋_GB2312"/>
                <w:b w:val="0"/>
                <w:bCs w:val="0"/>
                <w:snapToGrid/>
                <w:color w:val="auto"/>
                <w:kern w:val="2"/>
                <w:sz w:val="24"/>
                <w:szCs w:val="24"/>
                <w:lang w:val="en-US" w:eastAsia="zh-CN" w:bidi="zh-CN"/>
              </w:rPr>
              <w:t xml:space="preserve">    2.该项中增加应急第一响应人。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8"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z w:val="24"/>
                <w:szCs w:val="24"/>
                <w:highlight w:val="none"/>
                <w:vertAlign w:val="baseline"/>
              </w:rPr>
            </w:pPr>
            <w:r>
              <w:rPr>
                <w:rFonts w:hint="eastAsia" w:ascii="仿宋_GB2312" w:hAnsi="仿宋_GB2312" w:eastAsia="仿宋_GB2312" w:cs="仿宋_GB2312"/>
                <w:b w:val="0"/>
                <w:bCs/>
                <w:kern w:val="0"/>
                <w:sz w:val="24"/>
                <w:szCs w:val="24"/>
                <w:lang w:val="en-US" w:eastAsia="zh-CN"/>
              </w:rPr>
              <w:t>谭向君</w:t>
            </w:r>
          </w:p>
        </w:tc>
        <w:tc>
          <w:tcPr>
            <w:tcW w:w="6725" w:type="dxa"/>
            <w:vAlign w:val="center"/>
          </w:tcPr>
          <w:p>
            <w:pPr>
              <w:widowControl w:val="0"/>
              <w:spacing w:line="240" w:lineRule="auto"/>
              <w:jc w:val="center"/>
              <w:rPr>
                <w:sz w:val="24"/>
                <w:szCs w:val="24"/>
                <w:highlight w:val="none"/>
                <w:vertAlign w:val="baseline"/>
              </w:rPr>
            </w:pPr>
            <w:r>
              <w:rPr>
                <w:rFonts w:hint="eastAsia" w:ascii="Times New Roman" w:hAnsi="Times New Roman" w:eastAsia="仿宋_GB2312" w:cs="Times New Roman"/>
                <w:snapToGrid/>
                <w:color w:val="auto"/>
                <w:kern w:val="2"/>
                <w:sz w:val="24"/>
                <w:szCs w:val="24"/>
                <w:highlight w:val="none"/>
                <w:lang w:val="en-US" w:eastAsia="zh-CN" w:bidi="zh-CN"/>
              </w:rPr>
              <w:t xml:space="preserve">    《指引》第三项评定标准中的“制定合理的安全教育基地安全生产管理体系；制定适合安全教育基地的应急预案，配有安全保卫人员，并定期开展演练；场馆安全标识规范，消防逃生通道畅通；未发生过安全责任事故。”对于这个评定标准，建议在该条目中补充增加“定期开展安全检查（或防火检查）”。</w:t>
            </w:r>
          </w:p>
        </w:tc>
        <w:tc>
          <w:tcPr>
            <w:tcW w:w="1050" w:type="dxa"/>
            <w:vAlign w:val="center"/>
          </w:tcPr>
          <w:p>
            <w:pPr>
              <w:widowControl w:val="0"/>
              <w:spacing w:line="240" w:lineRule="auto"/>
              <w:jc w:val="center"/>
              <w:rPr>
                <w:sz w:val="24"/>
                <w:szCs w:val="24"/>
                <w:highlight w:val="none"/>
                <w:vertAlign w:val="baseline"/>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0" w:firstLineChars="200"/>
              <w:jc w:val="left"/>
              <w:rPr>
                <w:rFonts w:hint="default" w:ascii="仿宋_GB2312" w:hAnsi="仿宋_GB2312" w:eastAsia="仿宋_GB2312" w:cs="仿宋_GB2312"/>
                <w:snapToGrid w:val="0"/>
                <w:color w:val="000000"/>
                <w:spacing w:val="2"/>
                <w:kern w:val="0"/>
                <w:sz w:val="24"/>
                <w:szCs w:val="24"/>
                <w:lang w:val="en-US" w:eastAsia="zh-CN"/>
              </w:rPr>
            </w:pPr>
            <w:r>
              <w:rPr>
                <w:rFonts w:hint="eastAsia" w:ascii="仿宋_GB2312" w:hAnsi="仿宋_GB2312" w:eastAsia="仿宋_GB2312" w:cs="仿宋_GB2312"/>
                <w:b w:val="0"/>
                <w:bCs w:val="0"/>
                <w:snapToGrid/>
                <w:color w:val="auto"/>
                <w:kern w:val="2"/>
                <w:sz w:val="24"/>
                <w:szCs w:val="24"/>
                <w:lang w:val="en-US" w:eastAsia="zh-CN" w:bidi="zh-CN"/>
              </w:rPr>
              <w:t>已在该项增加“定期开展安全检查、防火检查。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3"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kern w:val="0"/>
                <w:sz w:val="24"/>
                <w:szCs w:val="24"/>
                <w:lang w:val="en-US" w:eastAsia="zh-CN"/>
              </w:rPr>
              <w:t>谢  辉</w:t>
            </w:r>
          </w:p>
        </w:tc>
        <w:tc>
          <w:tcPr>
            <w:tcW w:w="6725" w:type="dxa"/>
            <w:vAlign w:val="center"/>
          </w:tcPr>
          <w:p>
            <w:pPr>
              <w:widowControl w:val="0"/>
              <w:spacing w:line="240" w:lineRule="auto"/>
              <w:ind w:firstLine="488" w:firstLineChars="200"/>
              <w:jc w:val="left"/>
              <w:rPr>
                <w:sz w:val="24"/>
                <w:szCs w:val="24"/>
                <w:vertAlign w:val="baseline"/>
              </w:rPr>
            </w:pPr>
            <w:r>
              <w:rPr>
                <w:rFonts w:hint="eastAsia" w:ascii="仿宋_GB2312" w:hAnsi="仿宋_GB2312" w:eastAsia="仿宋_GB2312" w:cs="仿宋_GB2312"/>
                <w:snapToGrid w:val="0"/>
                <w:color w:val="000000"/>
                <w:spacing w:val="2"/>
                <w:kern w:val="0"/>
                <w:sz w:val="24"/>
                <w:szCs w:val="24"/>
                <w:lang w:val="en-US" w:eastAsia="zh-CN"/>
              </w:rPr>
              <w:t>《指引》第三项中的运营团队部分中的“市级安全教育基地、区级安全教育基地、街道级安全教育基地需配有面向中小学生、普通市民、各行业从业人员等不同群体的专业讲解团队，团队成员需取得至少一项专业资质。”建议在这里补充，在区级和市级安全教育基地的管理人员里面，至少有一个是具备中级注册安全工程师及以上资质的一个专业人员。</w:t>
            </w:r>
          </w:p>
        </w:tc>
        <w:tc>
          <w:tcPr>
            <w:tcW w:w="1050" w:type="dxa"/>
            <w:vAlign w:val="center"/>
          </w:tcPr>
          <w:p>
            <w:pPr>
              <w:widowControl w:val="0"/>
              <w:spacing w:line="240" w:lineRule="auto"/>
              <w:jc w:val="center"/>
              <w:rPr>
                <w:rFonts w:hint="eastAsia" w:ascii="仿宋_GB2312" w:hAnsi="仿宋_GB2312" w:eastAsia="仿宋_GB2312" w:cs="仿宋_GB2312"/>
                <w:snapToGrid w:val="0"/>
                <w:color w:val="000000"/>
                <w:spacing w:val="2"/>
                <w:kern w:val="0"/>
                <w:sz w:val="24"/>
                <w:szCs w:val="24"/>
                <w:lang w:val="en-US" w:eastAsia="zh-CN" w:bidi="zh-CN"/>
              </w:rPr>
            </w:pPr>
            <w:r>
              <w:rPr>
                <w:rFonts w:hint="eastAsia" w:ascii="仿宋_GB2312" w:hAnsi="仿宋_GB2312" w:eastAsia="仿宋_GB2312" w:cs="仿宋_GB2312"/>
                <w:snapToGrid w:val="0"/>
                <w:color w:val="000000"/>
                <w:spacing w:val="2"/>
                <w:kern w:val="0"/>
                <w:sz w:val="24"/>
                <w:szCs w:val="24"/>
                <w:lang w:val="en-US" w:eastAsia="zh-CN" w:bidi="zh-CN"/>
              </w:rPr>
              <w:t>部分</w:t>
            </w:r>
          </w:p>
          <w:p>
            <w:pPr>
              <w:widowControl w:val="0"/>
              <w:spacing w:line="240" w:lineRule="auto"/>
              <w:jc w:val="center"/>
              <w:rPr>
                <w:rFonts w:hint="default" w:eastAsia="宋体"/>
                <w:sz w:val="24"/>
                <w:szCs w:val="24"/>
                <w:vertAlign w:val="baseline"/>
                <w:lang w:val="en-US" w:eastAsia="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8" w:firstLineChars="200"/>
              <w:jc w:val="left"/>
              <w:rPr>
                <w:rFonts w:hint="eastAsia" w:ascii="仿宋_GB2312" w:hAnsi="仿宋_GB2312" w:eastAsia="仿宋_GB2312" w:cs="仿宋_GB2312"/>
                <w:snapToGrid w:val="0"/>
                <w:color w:val="000000"/>
                <w:spacing w:val="2"/>
                <w:kern w:val="0"/>
                <w:sz w:val="24"/>
                <w:szCs w:val="24"/>
                <w:lang w:val="en-US" w:eastAsia="zh-CN"/>
              </w:rPr>
            </w:pPr>
            <w:r>
              <w:rPr>
                <w:rFonts w:hint="eastAsia" w:ascii="仿宋_GB2312" w:hAnsi="仿宋_GB2312" w:eastAsia="仿宋_GB2312" w:cs="仿宋_GB2312"/>
                <w:snapToGrid w:val="0"/>
                <w:color w:val="000000"/>
                <w:spacing w:val="2"/>
                <w:kern w:val="0"/>
                <w:sz w:val="24"/>
                <w:szCs w:val="24"/>
                <w:lang w:val="en-US" w:eastAsia="zh-CN"/>
              </w:rPr>
              <w:t>1.市级安全教育基地，层级较高，面向社会大众群体较多，配备一名管理人员具备中级注册安全工程师及以上资质较为合理。区一级安全教育基地，层级相对市级较低，可视情况配备注册安全工程师或安全管理人员，这样可以适当降低区一级场馆评定难度，提高各安全基地评级的积极性，同时也让社会广大群众有机会到更多的安全基地接受安全知识熏陶。</w:t>
            </w:r>
          </w:p>
          <w:p>
            <w:pPr>
              <w:widowControl w:val="0"/>
              <w:spacing w:line="240" w:lineRule="auto"/>
              <w:ind w:firstLine="480" w:firstLineChars="200"/>
              <w:jc w:val="left"/>
              <w:rPr>
                <w:rFonts w:hint="eastAsia" w:ascii="仿宋_GB2312" w:hAnsi="仿宋_GB2312" w:eastAsia="仿宋_GB2312" w:cs="仿宋_GB2312"/>
                <w:snapToGrid w:val="0"/>
                <w:color w:val="000000"/>
                <w:spacing w:val="2"/>
                <w:kern w:val="0"/>
                <w:sz w:val="24"/>
                <w:szCs w:val="24"/>
                <w:lang w:val="en-US" w:eastAsia="zh-CN"/>
              </w:rPr>
            </w:pPr>
            <w:r>
              <w:rPr>
                <w:rFonts w:hint="eastAsia" w:ascii="仿宋_GB2312" w:hAnsi="仿宋_GB2312" w:eastAsia="仿宋_GB2312" w:cs="仿宋_GB2312"/>
                <w:b w:val="0"/>
                <w:bCs w:val="0"/>
                <w:snapToGrid/>
                <w:color w:val="auto"/>
                <w:kern w:val="2"/>
                <w:sz w:val="24"/>
                <w:szCs w:val="24"/>
                <w:lang w:val="en-US" w:eastAsia="zh-CN" w:bidi="zh-CN"/>
              </w:rPr>
              <w:t>2.已在该项中增加“</w:t>
            </w:r>
            <w:r>
              <w:rPr>
                <w:rFonts w:hint="eastAsia" w:ascii="仿宋_GB2312" w:hAnsi="仿宋_GB2312" w:eastAsia="仿宋_GB2312" w:cs="仿宋_GB2312"/>
                <w:snapToGrid w:val="0"/>
                <w:color w:val="000000"/>
                <w:spacing w:val="2"/>
                <w:kern w:val="0"/>
                <w:sz w:val="24"/>
                <w:szCs w:val="24"/>
                <w:lang w:val="en-US" w:eastAsia="zh-CN"/>
              </w:rPr>
              <w:t>成员需取得至少一项有关安全方面专业资质或从事过安全管理工作经验。”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p>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z w:val="24"/>
                <w:szCs w:val="24"/>
                <w:vertAlign w:val="baseline"/>
              </w:rPr>
            </w:pPr>
            <w:r>
              <w:rPr>
                <w:rFonts w:hint="eastAsia" w:ascii="仿宋_GB2312" w:hAnsi="仿宋_GB2312" w:eastAsia="仿宋_GB2312" w:cs="仿宋_GB2312"/>
                <w:b w:val="0"/>
                <w:bCs/>
                <w:kern w:val="0"/>
                <w:sz w:val="24"/>
                <w:szCs w:val="24"/>
                <w:lang w:val="en-US" w:eastAsia="zh-CN"/>
              </w:rPr>
              <w:t>杜小敏</w:t>
            </w:r>
          </w:p>
        </w:tc>
        <w:tc>
          <w:tcPr>
            <w:tcW w:w="6725" w:type="dxa"/>
            <w:vAlign w:val="center"/>
          </w:tcPr>
          <w:p>
            <w:pPr>
              <w:pStyle w:val="2"/>
              <w:spacing w:line="240" w:lineRule="auto"/>
              <w:ind w:left="0" w:leftChars="0" w:firstLine="488" w:firstLineChars="200"/>
              <w:jc w:val="left"/>
              <w:rPr>
                <w:sz w:val="24"/>
                <w:szCs w:val="24"/>
                <w:vertAlign w:val="baseline"/>
              </w:rPr>
            </w:pPr>
            <w:r>
              <w:rPr>
                <w:rFonts w:hint="eastAsia" w:ascii="仿宋_GB2312" w:hAnsi="仿宋_GB2312" w:eastAsia="仿宋_GB2312" w:cs="仿宋_GB2312"/>
                <w:snapToGrid w:val="0"/>
                <w:color w:val="000000"/>
                <w:spacing w:val="2"/>
                <w:kern w:val="0"/>
                <w:sz w:val="24"/>
                <w:szCs w:val="24"/>
                <w:lang w:val="en-US" w:eastAsia="zh-CN"/>
              </w:rPr>
              <w:t>《指引》中并无明确隔多长时间开展全市安全教育基地评定，建议明确。</w:t>
            </w:r>
          </w:p>
        </w:tc>
        <w:tc>
          <w:tcPr>
            <w:tcW w:w="1050" w:type="dxa"/>
            <w:vAlign w:val="center"/>
          </w:tcPr>
          <w:p>
            <w:pPr>
              <w:widowControl w:val="0"/>
              <w:spacing w:line="240" w:lineRule="auto"/>
              <w:jc w:val="center"/>
              <w:rPr>
                <w:rFonts w:hint="eastAsia" w:eastAsia="宋体"/>
                <w:sz w:val="24"/>
                <w:szCs w:val="24"/>
                <w:vertAlign w:val="baseline"/>
                <w:lang w:eastAsia="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8" w:firstLineChars="200"/>
              <w:jc w:val="left"/>
              <w:rPr>
                <w:rFonts w:hint="eastAsia" w:ascii="仿宋_GB2312" w:hAnsi="仿宋_GB2312" w:eastAsia="仿宋_GB2312" w:cs="仿宋_GB2312"/>
                <w:snapToGrid w:val="0"/>
                <w:color w:val="000000"/>
                <w:spacing w:val="2"/>
                <w:kern w:val="0"/>
                <w:sz w:val="24"/>
                <w:szCs w:val="24"/>
                <w:lang w:val="en-US" w:eastAsia="zh-CN"/>
              </w:rPr>
            </w:pPr>
            <w:r>
              <w:rPr>
                <w:rFonts w:hint="eastAsia" w:ascii="仿宋_GB2312" w:hAnsi="仿宋_GB2312" w:eastAsia="仿宋_GB2312" w:cs="仿宋_GB2312"/>
                <w:snapToGrid w:val="0"/>
                <w:color w:val="000000"/>
                <w:spacing w:val="2"/>
                <w:kern w:val="0"/>
                <w:sz w:val="24"/>
                <w:szCs w:val="24"/>
                <w:lang w:val="en-US" w:eastAsia="zh-CN"/>
              </w:rPr>
              <w:t>已在第二项评定范围和程序中补充增加“市应急管理局每年组织一次安全教育基地等级评定工作，各级各类安全教育基地结合自身实际，对照评定标准，准备相关证明材料作为申报材料，并提交市应急管理局审核。”</w:t>
            </w:r>
          </w:p>
          <w:p>
            <w:pPr>
              <w:widowControl w:val="0"/>
              <w:spacing w:line="240" w:lineRule="auto"/>
              <w:jc w:val="center"/>
              <w:rPr>
                <w:rFonts w:hint="default"/>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b w:val="0"/>
                <w:bCs/>
                <w:kern w:val="0"/>
                <w:sz w:val="24"/>
                <w:szCs w:val="24"/>
                <w:lang w:val="en-US" w:eastAsia="zh-CN"/>
              </w:rPr>
              <w:t>赵秀全</w:t>
            </w:r>
          </w:p>
        </w:tc>
        <w:tc>
          <w:tcPr>
            <w:tcW w:w="6725" w:type="dxa"/>
            <w:vAlign w:val="center"/>
          </w:tcPr>
          <w:p>
            <w:pPr>
              <w:widowControl w:val="0"/>
              <w:spacing w:line="240" w:lineRule="auto"/>
              <w:jc w:val="left"/>
              <w:rPr>
                <w:sz w:val="24"/>
                <w:szCs w:val="24"/>
                <w:vertAlign w:val="baseline"/>
              </w:rPr>
            </w:pPr>
            <w:r>
              <w:rPr>
                <w:rFonts w:hint="eastAsia" w:ascii="仿宋_GB2312" w:hAnsi="仿宋_GB2312" w:eastAsia="仿宋_GB2312" w:cs="仿宋_GB2312"/>
                <w:snapToGrid w:val="0"/>
                <w:color w:val="000000"/>
                <w:spacing w:val="2"/>
                <w:kern w:val="0"/>
                <w:sz w:val="24"/>
                <w:szCs w:val="24"/>
                <w:lang w:val="en-US" w:eastAsia="zh-CN"/>
              </w:rPr>
              <w:t xml:space="preserve">    建议明确争优创先中的分值细则，比如说：“原创宣传内容、培训课件被“学习强安”APP采用或者省级以上专业媒体、期刊转载过的，可以加分”因为增加宣传渠道，扩大影响范围，可以给各基地（场馆）更好地起到激励作用。</w:t>
            </w:r>
          </w:p>
        </w:tc>
        <w:tc>
          <w:tcPr>
            <w:tcW w:w="1050" w:type="dxa"/>
            <w:vAlign w:val="center"/>
          </w:tcPr>
          <w:p>
            <w:pPr>
              <w:widowControl w:val="0"/>
              <w:spacing w:line="240" w:lineRule="auto"/>
              <w:jc w:val="center"/>
              <w:rPr>
                <w:rFonts w:hint="eastAsia" w:eastAsia="宋体"/>
                <w:sz w:val="24"/>
                <w:szCs w:val="24"/>
                <w:vertAlign w:val="baseline"/>
                <w:lang w:eastAsia="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0" w:firstLineChars="200"/>
              <w:jc w:val="left"/>
              <w:rPr>
                <w:rFonts w:hint="default" w:eastAsia="宋体"/>
                <w:sz w:val="24"/>
                <w:szCs w:val="24"/>
                <w:vertAlign w:val="baseline"/>
                <w:lang w:val="en-US" w:eastAsia="zh-CN"/>
              </w:rPr>
            </w:pPr>
            <w:r>
              <w:rPr>
                <w:rFonts w:hint="eastAsia" w:ascii="仿宋_GB2312" w:hAnsi="仿宋_GB2312" w:eastAsia="仿宋_GB2312" w:cs="仿宋_GB2312"/>
                <w:b w:val="0"/>
                <w:bCs w:val="0"/>
                <w:snapToGrid/>
                <w:color w:val="auto"/>
                <w:kern w:val="2"/>
                <w:sz w:val="24"/>
                <w:szCs w:val="24"/>
                <w:lang w:val="en-US" w:eastAsia="zh-CN" w:bidi="zh-CN"/>
              </w:rPr>
              <w:t>已在该项中增加“</w:t>
            </w:r>
            <w:r>
              <w:rPr>
                <w:rFonts w:hint="default" w:ascii="仿宋_GB2312" w:hAnsi="仿宋_GB2312" w:eastAsia="仿宋_GB2312" w:cs="仿宋_GB2312"/>
                <w:snapToGrid w:val="0"/>
                <w:color w:val="000000"/>
                <w:spacing w:val="2"/>
                <w:kern w:val="0"/>
                <w:sz w:val="24"/>
                <w:szCs w:val="24"/>
                <w:lang w:val="en-US" w:eastAsia="zh-CN"/>
              </w:rPr>
              <w:t>积极拓宽安全知识和安全活动宣传渠道，扩大社会影响力</w:t>
            </w:r>
            <w:r>
              <w:rPr>
                <w:rFonts w:hint="eastAsia" w:ascii="仿宋_GB2312" w:hAnsi="仿宋_GB2312" w:eastAsia="仿宋_GB2312" w:cs="仿宋_GB2312"/>
                <w:snapToGrid w:val="0"/>
                <w:color w:val="000000"/>
                <w:spacing w:val="2"/>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8"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b w:val="0"/>
                <w:bCs/>
                <w:kern w:val="0"/>
                <w:sz w:val="24"/>
                <w:szCs w:val="24"/>
                <w:lang w:val="en-US" w:eastAsia="zh-CN"/>
              </w:rPr>
              <w:t>任  鸿</w:t>
            </w:r>
          </w:p>
        </w:tc>
        <w:tc>
          <w:tcPr>
            <w:tcW w:w="6725" w:type="dxa"/>
            <w:vAlign w:val="center"/>
          </w:tcPr>
          <w:p>
            <w:pPr>
              <w:widowControl w:val="0"/>
              <w:spacing w:line="240" w:lineRule="auto"/>
              <w:jc w:val="left"/>
              <w:rPr>
                <w:sz w:val="24"/>
                <w:szCs w:val="24"/>
                <w:vertAlign w:val="baseline"/>
              </w:rPr>
            </w:pPr>
            <w:r>
              <w:rPr>
                <w:rFonts w:hint="eastAsia" w:ascii="仿宋_GB2312" w:hAnsi="仿宋_GB2312" w:eastAsia="仿宋_GB2312" w:cs="仿宋_GB2312"/>
                <w:snapToGrid w:val="0"/>
                <w:color w:val="000000"/>
                <w:spacing w:val="2"/>
                <w:kern w:val="0"/>
                <w:sz w:val="24"/>
                <w:szCs w:val="24"/>
                <w:lang w:val="en-US" w:eastAsia="zh-CN"/>
              </w:rPr>
              <w:t xml:space="preserve">    《指引》第二项中的考核部分“市应急管理局邀请5名专家组成考核组，依据评定标准对参评基地进行实地考核，采取百分制提出考核等级评定意见，并根据评分情况和实地评估情况提出评审结果，对未能通过评审的基地，专家组反馈未通过原因。”请问如果专家组反馈了未通过的原因后，市局会不会提供指导意见？</w:t>
            </w:r>
          </w:p>
        </w:tc>
        <w:tc>
          <w:tcPr>
            <w:tcW w:w="1050" w:type="dxa"/>
            <w:vAlign w:val="center"/>
          </w:tcPr>
          <w:p>
            <w:pPr>
              <w:widowControl w:val="0"/>
              <w:spacing w:line="240" w:lineRule="auto"/>
              <w:jc w:val="center"/>
              <w:rPr>
                <w:rFonts w:hint="eastAsia" w:eastAsia="宋体"/>
                <w:sz w:val="24"/>
                <w:szCs w:val="24"/>
                <w:vertAlign w:val="baseline"/>
                <w:lang w:eastAsia="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widowControl w:val="0"/>
              <w:spacing w:line="240" w:lineRule="auto"/>
              <w:ind w:firstLine="488" w:firstLineChars="200"/>
              <w:jc w:val="left"/>
              <w:rPr>
                <w:rFonts w:hint="default" w:eastAsia="宋体"/>
                <w:sz w:val="24"/>
                <w:szCs w:val="24"/>
                <w:vertAlign w:val="baseline"/>
                <w:lang w:val="en-US" w:eastAsia="zh-CN"/>
              </w:rPr>
            </w:pPr>
            <w:r>
              <w:rPr>
                <w:rFonts w:hint="eastAsia" w:ascii="仿宋_GB2312" w:hAnsi="仿宋_GB2312" w:eastAsia="仿宋_GB2312" w:cs="仿宋_GB2312"/>
                <w:snapToGrid w:val="0"/>
                <w:color w:val="000000"/>
                <w:spacing w:val="2"/>
                <w:kern w:val="0"/>
                <w:sz w:val="24"/>
                <w:szCs w:val="24"/>
                <w:lang w:val="en-US" w:eastAsia="zh-CN"/>
              </w:rPr>
              <w:t>已将该表述调整为“</w:t>
            </w:r>
            <w:r>
              <w:rPr>
                <w:rFonts w:hint="default" w:ascii="仿宋_GB2312" w:hAnsi="仿宋_GB2312" w:eastAsia="仿宋_GB2312" w:cs="仿宋_GB2312"/>
                <w:snapToGrid w:val="0"/>
                <w:color w:val="000000"/>
                <w:spacing w:val="2"/>
                <w:kern w:val="0"/>
                <w:sz w:val="24"/>
                <w:szCs w:val="24"/>
                <w:lang w:val="en-US" w:eastAsia="zh-CN"/>
              </w:rPr>
              <w:t>市应急管理局邀请5名专家组成考核组，依据评定标准对参评基地进行实地考核，采取百分制提出考核等级评定意见，并根据评分情况和实地评估情况提出评审结果，对未能通过评审的基地，专家组反馈未通过原因。针对反馈</w:t>
            </w:r>
            <w:r>
              <w:rPr>
                <w:rFonts w:hint="eastAsia" w:ascii="仿宋_GB2312" w:hAnsi="仿宋_GB2312" w:eastAsia="仿宋_GB2312" w:cs="仿宋_GB2312"/>
                <w:snapToGrid w:val="0"/>
                <w:color w:val="000000"/>
                <w:spacing w:val="2"/>
                <w:kern w:val="0"/>
                <w:sz w:val="24"/>
                <w:szCs w:val="24"/>
                <w:lang w:val="en-US" w:eastAsia="zh-CN"/>
              </w:rPr>
              <w:t>情况</w:t>
            </w:r>
            <w:r>
              <w:rPr>
                <w:rFonts w:hint="default" w:ascii="仿宋_GB2312" w:hAnsi="仿宋_GB2312" w:eastAsia="仿宋_GB2312" w:cs="仿宋_GB2312"/>
                <w:snapToGrid w:val="0"/>
                <w:color w:val="000000"/>
                <w:spacing w:val="2"/>
                <w:kern w:val="0"/>
                <w:sz w:val="24"/>
                <w:szCs w:val="24"/>
                <w:lang w:val="en-US" w:eastAsia="zh-CN"/>
              </w:rPr>
              <w:t>，市应急管理局将结合基地需求和工作实际，提供针对性的技术指导。</w:t>
            </w:r>
            <w:r>
              <w:rPr>
                <w:rFonts w:hint="eastAsia" w:ascii="仿宋_GB2312" w:hAnsi="仿宋_GB2312" w:eastAsia="仿宋_GB2312" w:cs="仿宋_GB2312"/>
                <w:snapToGrid w:val="0"/>
                <w:color w:val="000000"/>
                <w:spacing w:val="2"/>
                <w:kern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5" w:hRule="atLeast"/>
        </w:trPr>
        <w:tc>
          <w:tcPr>
            <w:tcW w:w="631" w:type="dxa"/>
            <w:vAlign w:val="center"/>
          </w:tcPr>
          <w:p>
            <w:pPr>
              <w:widowControl w:val="0"/>
              <w:spacing w:line="240" w:lineRule="auto"/>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950" w:type="dxa"/>
            <w:vAlign w:val="center"/>
          </w:tcPr>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pacing w:val="2"/>
                <w:sz w:val="24"/>
                <w:szCs w:val="24"/>
              </w:rPr>
              <w:t>听证参加人</w:t>
            </w:r>
          </w:p>
          <w:p>
            <w:pPr>
              <w:widowControl w:val="0"/>
              <w:spacing w:line="240" w:lineRule="auto"/>
              <w:jc w:val="center"/>
              <w:rPr>
                <w:rFonts w:hint="eastAsia" w:ascii="仿宋_GB2312" w:hAnsi="仿宋_GB2312" w:eastAsia="仿宋_GB2312" w:cs="仿宋_GB2312"/>
                <w:spacing w:val="2"/>
                <w:sz w:val="24"/>
                <w:szCs w:val="24"/>
              </w:rPr>
            </w:pPr>
            <w:r>
              <w:rPr>
                <w:rFonts w:hint="eastAsia" w:ascii="仿宋_GB2312" w:hAnsi="仿宋_GB2312" w:eastAsia="仿宋_GB2312" w:cs="仿宋_GB2312"/>
                <w:sz w:val="24"/>
                <w:szCs w:val="24"/>
                <w:lang w:val="en-US" w:eastAsia="zh-CN"/>
              </w:rPr>
              <w:t>陈  勇</w:t>
            </w:r>
          </w:p>
        </w:tc>
        <w:tc>
          <w:tcPr>
            <w:tcW w:w="672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sz w:val="24"/>
                <w:szCs w:val="24"/>
                <w:vertAlign w:val="baseline"/>
              </w:rPr>
            </w:pPr>
            <w:r>
              <w:rPr>
                <w:rFonts w:hint="eastAsia" w:ascii="仿宋_GB2312" w:hAnsi="仿宋_GB2312" w:eastAsia="仿宋_GB2312" w:cs="仿宋_GB2312"/>
                <w:snapToGrid w:val="0"/>
                <w:color w:val="000000"/>
                <w:spacing w:val="2"/>
                <w:kern w:val="0"/>
                <w:sz w:val="24"/>
                <w:szCs w:val="24"/>
                <w:lang w:val="en-US" w:eastAsia="zh-CN"/>
              </w:rPr>
              <w:t xml:space="preserve">    </w:t>
            </w:r>
            <w:bookmarkStart w:id="0" w:name="_GoBack"/>
            <w:r>
              <w:rPr>
                <w:rFonts w:hint="eastAsia" w:ascii="仿宋_GB2312" w:hAnsi="仿宋_GB2312" w:eastAsia="仿宋_GB2312" w:cs="仿宋_GB2312"/>
                <w:snapToGrid w:val="0"/>
                <w:color w:val="000000"/>
                <w:spacing w:val="2"/>
                <w:kern w:val="0"/>
                <w:sz w:val="24"/>
                <w:szCs w:val="24"/>
                <w:lang w:val="en-US" w:eastAsia="zh-CN"/>
              </w:rPr>
              <w:t>《指引》第三项中的退出机制部分，建议增加“因管理原因造成重大负面影响或舆情的”也作为纳入这种退出机制的评定条件。</w:t>
            </w:r>
            <w:bookmarkEnd w:id="0"/>
          </w:p>
        </w:tc>
        <w:tc>
          <w:tcPr>
            <w:tcW w:w="1050" w:type="dxa"/>
            <w:vAlign w:val="center"/>
          </w:tcPr>
          <w:p>
            <w:pPr>
              <w:widowControl w:val="0"/>
              <w:spacing w:line="240" w:lineRule="auto"/>
              <w:jc w:val="center"/>
              <w:rPr>
                <w:rFonts w:hint="eastAsia" w:ascii="仿宋_GB2312" w:hAnsi="仿宋_GB2312" w:eastAsia="仿宋_GB2312" w:cs="仿宋_GB2312"/>
                <w:snapToGrid w:val="0"/>
                <w:color w:val="000000"/>
                <w:spacing w:val="2"/>
                <w:kern w:val="0"/>
                <w:sz w:val="24"/>
                <w:szCs w:val="24"/>
                <w:lang w:val="en-US" w:eastAsia="zh-CN" w:bidi="zh-CN"/>
              </w:rPr>
            </w:pPr>
            <w:r>
              <w:rPr>
                <w:rFonts w:hint="eastAsia" w:ascii="仿宋_GB2312" w:hAnsi="仿宋_GB2312" w:eastAsia="仿宋_GB2312" w:cs="仿宋_GB2312"/>
                <w:snapToGrid w:val="0"/>
                <w:color w:val="000000"/>
                <w:spacing w:val="2"/>
                <w:kern w:val="0"/>
                <w:sz w:val="24"/>
                <w:szCs w:val="24"/>
                <w:lang w:val="en-US" w:eastAsia="zh-CN" w:bidi="zh-CN"/>
              </w:rPr>
              <w:t>部分</w:t>
            </w:r>
          </w:p>
          <w:p>
            <w:pPr>
              <w:widowControl w:val="0"/>
              <w:spacing w:line="240" w:lineRule="auto"/>
              <w:jc w:val="center"/>
              <w:rPr>
                <w:rFonts w:hint="default" w:eastAsia="宋体"/>
                <w:sz w:val="24"/>
                <w:szCs w:val="24"/>
                <w:vertAlign w:val="baseline"/>
                <w:lang w:val="en-US" w:eastAsia="zh-CN"/>
              </w:rPr>
            </w:pPr>
            <w:r>
              <w:rPr>
                <w:rFonts w:hint="eastAsia" w:ascii="仿宋_GB2312" w:hAnsi="仿宋_GB2312" w:eastAsia="仿宋_GB2312" w:cs="仿宋_GB2312"/>
                <w:snapToGrid w:val="0"/>
                <w:color w:val="000000"/>
                <w:spacing w:val="2"/>
                <w:kern w:val="0"/>
                <w:sz w:val="24"/>
                <w:szCs w:val="24"/>
                <w:lang w:val="en-US" w:eastAsia="zh-CN" w:bidi="zh-CN"/>
              </w:rPr>
              <w:t>采纳</w:t>
            </w:r>
          </w:p>
        </w:tc>
        <w:tc>
          <w:tcPr>
            <w:tcW w:w="526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488" w:firstLineChars="200"/>
              <w:jc w:val="left"/>
              <w:textAlignment w:val="auto"/>
              <w:rPr>
                <w:rFonts w:hint="default" w:ascii="仿宋_GB2312" w:hAnsi="仿宋_GB2312" w:eastAsia="仿宋_GB2312" w:cs="仿宋_GB2312"/>
                <w:snapToGrid w:val="0"/>
                <w:color w:val="000000"/>
                <w:spacing w:val="2"/>
                <w:kern w:val="0"/>
                <w:sz w:val="24"/>
                <w:szCs w:val="24"/>
                <w:lang w:val="en-US" w:eastAsia="zh-CN"/>
              </w:rPr>
            </w:pPr>
            <w:r>
              <w:rPr>
                <w:rFonts w:hint="eastAsia" w:ascii="仿宋_GB2312" w:hAnsi="仿宋_GB2312" w:eastAsia="仿宋_GB2312" w:cs="仿宋_GB2312"/>
                <w:snapToGrid w:val="0"/>
                <w:color w:val="000000"/>
                <w:spacing w:val="2"/>
                <w:kern w:val="0"/>
                <w:sz w:val="24"/>
                <w:szCs w:val="24"/>
                <w:lang w:val="en-US" w:eastAsia="zh-CN"/>
              </w:rPr>
              <w:t>1.该项中的“</w:t>
            </w:r>
            <w:r>
              <w:rPr>
                <w:rFonts w:hint="default" w:ascii="仿宋_GB2312" w:hAnsi="仿宋_GB2312" w:eastAsia="仿宋_GB2312" w:cs="仿宋_GB2312"/>
                <w:snapToGrid w:val="0"/>
                <w:color w:val="000000"/>
                <w:spacing w:val="2"/>
                <w:kern w:val="0"/>
                <w:sz w:val="24"/>
                <w:szCs w:val="24"/>
                <w:lang w:val="en-US" w:eastAsia="zh-CN"/>
              </w:rPr>
              <w:t>其</w:t>
            </w:r>
            <w:r>
              <w:rPr>
                <w:rFonts w:hint="eastAsia" w:ascii="仿宋_GB2312" w:hAnsi="仿宋_GB2312" w:eastAsia="仿宋_GB2312" w:cs="仿宋_GB2312"/>
                <w:snapToGrid w:val="0"/>
                <w:color w:val="000000"/>
                <w:spacing w:val="2"/>
                <w:kern w:val="0"/>
                <w:sz w:val="24"/>
                <w:szCs w:val="24"/>
                <w:lang w:val="en-US" w:eastAsia="zh-CN"/>
              </w:rPr>
              <w:t>他应当撤销称号的情形”</w:t>
            </w:r>
            <w:r>
              <w:rPr>
                <w:rFonts w:hint="default" w:ascii="仿宋_GB2312" w:hAnsi="仿宋_GB2312" w:eastAsia="仿宋_GB2312" w:cs="仿宋_GB2312"/>
                <w:snapToGrid w:val="0"/>
                <w:color w:val="000000"/>
                <w:spacing w:val="2"/>
                <w:kern w:val="0"/>
                <w:sz w:val="24"/>
                <w:szCs w:val="24"/>
                <w:lang w:val="en-US" w:eastAsia="zh-CN"/>
              </w:rPr>
              <w:t>已经涵盖代表的建议。</w:t>
            </w:r>
          </w:p>
          <w:p>
            <w:pPr>
              <w:keepNext w:val="0"/>
              <w:keepLines w:val="0"/>
              <w:pageBreakBefore w:val="0"/>
              <w:widowControl w:val="0"/>
              <w:kinsoku/>
              <w:wordWrap/>
              <w:overflowPunct/>
              <w:topLinePunct w:val="0"/>
              <w:autoSpaceDE/>
              <w:autoSpaceDN/>
              <w:bidi w:val="0"/>
              <w:adjustRightInd/>
              <w:snapToGrid/>
              <w:spacing w:line="240" w:lineRule="auto"/>
              <w:ind w:firstLine="488" w:firstLineChars="200"/>
              <w:jc w:val="left"/>
              <w:textAlignment w:val="auto"/>
              <w:rPr>
                <w:rFonts w:hint="default"/>
                <w:lang w:val="en-US" w:eastAsia="zh-CN"/>
              </w:rPr>
            </w:pPr>
            <w:r>
              <w:rPr>
                <w:rFonts w:hint="eastAsia" w:ascii="仿宋_GB2312" w:hAnsi="仿宋_GB2312" w:eastAsia="仿宋_GB2312" w:cs="仿宋_GB2312"/>
                <w:snapToGrid w:val="0"/>
                <w:color w:val="000000"/>
                <w:spacing w:val="2"/>
                <w:kern w:val="0"/>
                <w:sz w:val="24"/>
                <w:szCs w:val="24"/>
                <w:lang w:val="en-US" w:eastAsia="zh-CN"/>
              </w:rPr>
              <w:t>2.已加强重大负面影响权重。</w:t>
            </w:r>
          </w:p>
        </w:tc>
      </w:tr>
    </w:tbl>
    <w:p>
      <w:pPr>
        <w:spacing w:line="240" w:lineRule="auto"/>
        <w:rPr>
          <w:sz w:val="24"/>
          <w:szCs w:val="24"/>
        </w:rPr>
      </w:pPr>
    </w:p>
    <w:sectPr>
      <w:pgSz w:w="16838" w:h="11906" w:orient="landscape"/>
      <w:pgMar w:top="1183" w:right="478" w:bottom="1803" w:left="60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MGJiOWQxZjkxMWEwMGU1NDZlNGJiY2EwMzZlY2YifQ=="/>
  </w:docVars>
  <w:rsids>
    <w:rsidRoot w:val="7AC24C98"/>
    <w:rsid w:val="01CE54B4"/>
    <w:rsid w:val="02007263"/>
    <w:rsid w:val="033975FE"/>
    <w:rsid w:val="03DA0801"/>
    <w:rsid w:val="03E168C4"/>
    <w:rsid w:val="046D37A3"/>
    <w:rsid w:val="048579B9"/>
    <w:rsid w:val="050320ED"/>
    <w:rsid w:val="083541EC"/>
    <w:rsid w:val="086D3981"/>
    <w:rsid w:val="0A14663A"/>
    <w:rsid w:val="0C684AA1"/>
    <w:rsid w:val="0CA42250"/>
    <w:rsid w:val="0E5A3CA0"/>
    <w:rsid w:val="0E895C0C"/>
    <w:rsid w:val="0F3A61D0"/>
    <w:rsid w:val="0F562F3C"/>
    <w:rsid w:val="0FA71108"/>
    <w:rsid w:val="10D119D2"/>
    <w:rsid w:val="10EF5050"/>
    <w:rsid w:val="12635824"/>
    <w:rsid w:val="14C17CAD"/>
    <w:rsid w:val="14FC3034"/>
    <w:rsid w:val="15F01B6D"/>
    <w:rsid w:val="15FB2D08"/>
    <w:rsid w:val="17D078A7"/>
    <w:rsid w:val="17ED560B"/>
    <w:rsid w:val="18E81DD0"/>
    <w:rsid w:val="18FB0FCF"/>
    <w:rsid w:val="1AEC3D33"/>
    <w:rsid w:val="1B1547FA"/>
    <w:rsid w:val="1B4537CC"/>
    <w:rsid w:val="1D4F6E69"/>
    <w:rsid w:val="1DFB1E9D"/>
    <w:rsid w:val="236A413A"/>
    <w:rsid w:val="2410200F"/>
    <w:rsid w:val="25185192"/>
    <w:rsid w:val="25D61FF4"/>
    <w:rsid w:val="27BD36B4"/>
    <w:rsid w:val="2A220F43"/>
    <w:rsid w:val="2A415F4A"/>
    <w:rsid w:val="2AAD5AD2"/>
    <w:rsid w:val="2AB349A1"/>
    <w:rsid w:val="2ABF3CDA"/>
    <w:rsid w:val="2AC4312A"/>
    <w:rsid w:val="2DC0531C"/>
    <w:rsid w:val="2E47137F"/>
    <w:rsid w:val="2FDC7486"/>
    <w:rsid w:val="301C5014"/>
    <w:rsid w:val="30DF79A4"/>
    <w:rsid w:val="30EE3C30"/>
    <w:rsid w:val="349A68CA"/>
    <w:rsid w:val="359E2258"/>
    <w:rsid w:val="372825C7"/>
    <w:rsid w:val="375D1DEF"/>
    <w:rsid w:val="37742C73"/>
    <w:rsid w:val="377E6AED"/>
    <w:rsid w:val="38AE307D"/>
    <w:rsid w:val="3F31321A"/>
    <w:rsid w:val="3F314401"/>
    <w:rsid w:val="40EF4738"/>
    <w:rsid w:val="42DC702D"/>
    <w:rsid w:val="47863A49"/>
    <w:rsid w:val="489B3943"/>
    <w:rsid w:val="4D73791E"/>
    <w:rsid w:val="4EF81D37"/>
    <w:rsid w:val="4EFB61D6"/>
    <w:rsid w:val="4F092637"/>
    <w:rsid w:val="51730D77"/>
    <w:rsid w:val="52182F90"/>
    <w:rsid w:val="52B8593B"/>
    <w:rsid w:val="54BA7F67"/>
    <w:rsid w:val="55BD4860"/>
    <w:rsid w:val="57C16A0F"/>
    <w:rsid w:val="585E1553"/>
    <w:rsid w:val="58EB559B"/>
    <w:rsid w:val="59D24FFA"/>
    <w:rsid w:val="5B8C2914"/>
    <w:rsid w:val="5B972996"/>
    <w:rsid w:val="5C6F44E8"/>
    <w:rsid w:val="5C791721"/>
    <w:rsid w:val="5D300D93"/>
    <w:rsid w:val="5F751B94"/>
    <w:rsid w:val="6041703D"/>
    <w:rsid w:val="609116B9"/>
    <w:rsid w:val="62A00A80"/>
    <w:rsid w:val="633805D5"/>
    <w:rsid w:val="63451AA4"/>
    <w:rsid w:val="63C538A2"/>
    <w:rsid w:val="63F42A79"/>
    <w:rsid w:val="64B818BE"/>
    <w:rsid w:val="65851F41"/>
    <w:rsid w:val="67093F1C"/>
    <w:rsid w:val="68A4791A"/>
    <w:rsid w:val="693132DD"/>
    <w:rsid w:val="6A143A03"/>
    <w:rsid w:val="6BC22528"/>
    <w:rsid w:val="6CFF66CE"/>
    <w:rsid w:val="6DF57731"/>
    <w:rsid w:val="702D2329"/>
    <w:rsid w:val="736467B3"/>
    <w:rsid w:val="74170174"/>
    <w:rsid w:val="74C41CD6"/>
    <w:rsid w:val="74C522F1"/>
    <w:rsid w:val="74F84743"/>
    <w:rsid w:val="758D193E"/>
    <w:rsid w:val="75F34C49"/>
    <w:rsid w:val="77FA0AAA"/>
    <w:rsid w:val="780673AE"/>
    <w:rsid w:val="79112BA7"/>
    <w:rsid w:val="79235D53"/>
    <w:rsid w:val="7AC24C98"/>
    <w:rsid w:val="7C8A178C"/>
    <w:rsid w:val="7C9B31C1"/>
    <w:rsid w:val="7D4D25B9"/>
    <w:rsid w:val="7E4A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6">
    <w:name w:val="Table Normal"/>
    <w:unhideWhenUsed/>
    <w:qFormat/>
    <w:uiPriority w:val="0"/>
    <w:tblPr>
      <w:tblLayout w:type="fixed"/>
      <w:tblCellMar>
        <w:top w:w="0" w:type="dxa"/>
        <w:left w:w="0" w:type="dxa"/>
        <w:bottom w:w="0" w:type="dxa"/>
        <w:right w:w="0" w:type="dxa"/>
      </w:tblCellMar>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1451</Words>
  <Characters>1462</Characters>
  <Lines>0</Lines>
  <Paragraphs>0</Paragraphs>
  <TotalTime>4</TotalTime>
  <ScaleCrop>false</ScaleCrop>
  <LinksUpToDate>false</LinksUpToDate>
  <CharactersWithSpaces>1472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2022-10-09T03:56:00Z</dcterms:created>
  <dc:creator>王东翔</dc:creator>
  <cp:lastModifiedBy>王东翔</cp:lastModifiedBy>
  <dcterms:modified xsi:type="dcterms:W3CDTF">2022-11-04T13:18:38Z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AB46E21BB02B4D4F8AF22698938DE03D</vt:lpwstr>
  </property>
</Properties>
</file>