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bookmarkStart w:id="0" w:name="_Hlk42628737"/>
      <w:r>
        <w:rPr>
          <w:rFonts w:hint="eastAsia" w:ascii="黑体" w:hAnsi="黑体" w:eastAsia="黑体" w:cs="方正小标宋简体"/>
          <w:sz w:val="32"/>
          <w:szCs w:val="32"/>
        </w:rPr>
        <w:t>附件</w:t>
      </w:r>
      <w:r>
        <w:rPr>
          <w:rFonts w:ascii="黑体" w:hAnsi="黑体" w:eastAsia="黑体" w:cs="方正小标宋简体"/>
          <w:sz w:val="32"/>
          <w:szCs w:val="32"/>
        </w:rPr>
        <w:t>7</w:t>
      </w:r>
      <w:r>
        <w:rPr>
          <w:rFonts w:hint="eastAsia" w:ascii="黑体" w:hAnsi="黑体" w:eastAsia="黑体" w:cs="方正小标宋简体"/>
          <w:sz w:val="32"/>
          <w:szCs w:val="32"/>
        </w:rPr>
        <w:t>：</w:t>
      </w:r>
    </w:p>
    <w:bookmarkEnd w:id="0"/>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深圳市危险化学品企业安全生产标准化三级达标审查重点清单（试行）</w:t>
      </w:r>
    </w:p>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（工业气体生产经营企业）</w:t>
      </w:r>
    </w:p>
    <w:p>
      <w:pPr>
        <w:spacing w:line="560" w:lineRule="exact"/>
        <w:jc w:val="center"/>
        <w:rPr>
          <w:rFonts w:ascii="黑体" w:hAnsi="黑体" w:eastAsia="黑体"/>
          <w:b/>
          <w:bCs/>
          <w:sz w:val="32"/>
          <w:szCs w:val="32"/>
        </w:rPr>
      </w:pPr>
      <w:r>
        <w:rPr>
          <w:rFonts w:hint="eastAsia" w:ascii="黑体" w:hAnsi="黑体" w:eastAsia="黑体"/>
          <w:b/>
          <w:bCs/>
          <w:sz w:val="32"/>
          <w:szCs w:val="32"/>
        </w:rPr>
        <w:t>审 查 说 明</w:t>
      </w:r>
    </w:p>
    <w:p>
      <w:pPr>
        <w:pStyle w:val="8"/>
        <w:numPr>
          <w:ilvl w:val="0"/>
          <w:numId w:val="1"/>
        </w:numPr>
        <w:tabs>
          <w:tab w:val="left" w:pos="851"/>
        </w:tabs>
        <w:spacing w:line="400" w:lineRule="exact"/>
        <w:ind w:left="839" w:hanging="357" w:firstLineChars="0"/>
        <w:rPr>
          <w:rFonts w:ascii="仿宋_GB2312" w:eastAsia="仿宋_GB2312"/>
          <w:sz w:val="24"/>
        </w:rPr>
      </w:pPr>
      <w:r>
        <w:rPr>
          <w:rFonts w:hint="eastAsia" w:ascii="仿宋_GB2312" w:eastAsia="仿宋_GB2312"/>
          <w:sz w:val="24"/>
        </w:rPr>
        <w:t>本重点清单依据《危险化学品从业单位安全生产标准化评审标准》《工业气体生产经营企业现场安全重点检查指引》</w:t>
      </w:r>
      <w:r>
        <w:rPr>
          <w:rFonts w:hint="eastAsia" w:ascii="仿宋_GB2312" w:eastAsia="仿宋_GB2312"/>
          <w:sz w:val="24"/>
          <w:lang w:eastAsia="zh-CN"/>
        </w:rPr>
        <w:t>等</w:t>
      </w:r>
      <w:r>
        <w:rPr>
          <w:rFonts w:hint="eastAsia" w:ascii="仿宋_GB2312" w:eastAsia="仿宋_GB2312"/>
          <w:sz w:val="24"/>
        </w:rPr>
        <w:t>编制，适用于深圳市工业气体生产经营企业安全生产标准化三级达标审查工作</w:t>
      </w:r>
      <w:r>
        <w:rPr>
          <w:rFonts w:hint="eastAsia" w:ascii="仿宋_GB2312" w:eastAsia="仿宋_GB2312"/>
          <w:sz w:val="24"/>
          <w:lang w:eastAsia="zh-CN"/>
        </w:rPr>
        <w:t>，引导</w:t>
      </w:r>
      <w:r>
        <w:rPr>
          <w:rFonts w:hint="eastAsia" w:ascii="仿宋_GB2312" w:eastAsia="仿宋_GB2312"/>
          <w:sz w:val="24"/>
        </w:rPr>
        <w:t>企业重点管控现场安全风险，持续改进、自我提升</w:t>
      </w:r>
      <w:r>
        <w:rPr>
          <w:rFonts w:hint="eastAsia" w:ascii="仿宋_GB2312" w:eastAsia="仿宋_GB2312"/>
          <w:sz w:val="24"/>
          <w:lang w:eastAsia="zh-CN"/>
        </w:rPr>
        <w:t>安全管理水平</w:t>
      </w:r>
      <w:r>
        <w:rPr>
          <w:rFonts w:hint="eastAsia" w:ascii="仿宋_GB2312" w:eastAsia="仿宋_GB2312"/>
          <w:sz w:val="24"/>
        </w:rPr>
        <w:t>。</w:t>
      </w:r>
    </w:p>
    <w:p>
      <w:pPr>
        <w:pStyle w:val="8"/>
        <w:numPr>
          <w:ilvl w:val="0"/>
          <w:numId w:val="1"/>
        </w:numPr>
        <w:tabs>
          <w:tab w:val="left" w:pos="851"/>
        </w:tabs>
        <w:spacing w:line="400" w:lineRule="exact"/>
        <w:ind w:left="839" w:hanging="357" w:firstLineChars="0"/>
        <w:rPr>
          <w:rFonts w:ascii="仿宋_GB2312" w:eastAsia="仿宋_GB2312"/>
          <w:sz w:val="24"/>
        </w:rPr>
      </w:pPr>
      <w:bookmarkStart w:id="1" w:name="_Hlk42628729"/>
      <w:r>
        <w:rPr>
          <w:rFonts w:hint="eastAsia" w:ascii="仿宋_GB2312" w:eastAsia="仿宋_GB2312"/>
          <w:sz w:val="24"/>
        </w:rPr>
        <w:t>本重点清单所列审查事项均为否决项；现场审查时，安全生产标准化三级达标企业应符合全部审查事项对应的审查内容</w:t>
      </w:r>
      <w:r>
        <w:rPr>
          <w:rFonts w:hint="eastAsia" w:ascii="仿宋_GB2312" w:eastAsia="仿宋_GB2312"/>
          <w:sz w:val="24"/>
          <w:lang w:eastAsia="zh-CN"/>
        </w:rPr>
        <w:t>要求</w:t>
      </w:r>
      <w:r>
        <w:rPr>
          <w:rFonts w:hint="eastAsia" w:ascii="仿宋_GB2312" w:eastAsia="仿宋_GB2312"/>
          <w:sz w:val="24"/>
        </w:rPr>
        <w:t>，其中被审查企业不涉及的审查内容列为缺项，不纳入审查。</w:t>
      </w:r>
      <w:bookmarkEnd w:id="1"/>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02"/>
        <w:gridCol w:w="1003"/>
        <w:gridCol w:w="8900"/>
        <w:gridCol w:w="125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707"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序号</w:t>
            </w:r>
          </w:p>
        </w:tc>
        <w:tc>
          <w:tcPr>
            <w:tcW w:w="2005" w:type="dxa"/>
            <w:gridSpan w:val="2"/>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审查事项</w:t>
            </w:r>
          </w:p>
        </w:tc>
        <w:tc>
          <w:tcPr>
            <w:tcW w:w="8900"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审查内容</w:t>
            </w:r>
          </w:p>
        </w:tc>
        <w:tc>
          <w:tcPr>
            <w:tcW w:w="1250" w:type="dxa"/>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是否符合</w:t>
            </w:r>
          </w:p>
        </w:tc>
        <w:tc>
          <w:tcPr>
            <w:tcW w:w="1312" w:type="dxa"/>
          </w:tcPr>
          <w:p>
            <w:pPr>
              <w:spacing w:line="320" w:lineRule="exact"/>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1</w:t>
            </w:r>
          </w:p>
        </w:tc>
        <w:tc>
          <w:tcPr>
            <w:tcW w:w="2005"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风险辨识和分级管控</w:t>
            </w:r>
          </w:p>
        </w:tc>
        <w:tc>
          <w:tcPr>
            <w:tcW w:w="8900" w:type="dxa"/>
          </w:tcPr>
          <w:p>
            <w:pPr>
              <w:tabs>
                <w:tab w:val="left" w:pos="420"/>
              </w:tabs>
              <w:rPr>
                <w:rFonts w:hint="eastAsia" w:ascii="仿宋" w:hAnsi="仿宋" w:eastAsia="仿宋" w:cs="仿宋"/>
                <w:kern w:val="0"/>
                <w:sz w:val="24"/>
              </w:rPr>
            </w:pPr>
            <w:r>
              <w:rPr>
                <w:rFonts w:hint="eastAsia" w:ascii="仿宋" w:hAnsi="仿宋" w:eastAsia="仿宋" w:cs="仿宋"/>
                <w:kern w:val="0"/>
                <w:sz w:val="24"/>
              </w:rPr>
              <w:t>（1）企业应建立风险辨识和分级管控制度，明确组织机构、职责分工、工作程序、辨识方法、辨识频次、风险分级、风险评价、分级管控措施等要求；</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（2）企业应严格执行制度要求，设置岗位安全风险告知卡，至少每半年更新安全风险清单，每班交接班记录说明安全隐患情况</w:t>
            </w:r>
          </w:p>
        </w:tc>
        <w:tc>
          <w:tcPr>
            <w:tcW w:w="1250" w:type="dxa"/>
          </w:tcPr>
          <w:p>
            <w:pPr>
              <w:rPr>
                <w:rFonts w:ascii="仿宋" w:hAnsi="仿宋" w:eastAsia="仿宋" w:cs="仿宋"/>
                <w:sz w:val="24"/>
              </w:rPr>
            </w:pPr>
          </w:p>
        </w:tc>
        <w:tc>
          <w:tcPr>
            <w:tcW w:w="131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2</w:t>
            </w:r>
          </w:p>
        </w:tc>
        <w:tc>
          <w:tcPr>
            <w:tcW w:w="2005"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安全生产教育和培训</w:t>
            </w:r>
          </w:p>
        </w:tc>
        <w:tc>
          <w:tcPr>
            <w:tcW w:w="8900" w:type="dxa"/>
          </w:tcPr>
          <w:p>
            <w:pPr>
              <w:tabs>
                <w:tab w:val="left" w:pos="420"/>
              </w:tabs>
              <w:rPr>
                <w:rFonts w:hint="eastAsia" w:ascii="仿宋" w:hAnsi="仿宋" w:eastAsia="仿宋" w:cs="仿宋"/>
                <w:kern w:val="0"/>
                <w:sz w:val="24"/>
              </w:rPr>
            </w:pPr>
            <w:r>
              <w:rPr>
                <w:rFonts w:hint="eastAsia" w:ascii="仿宋" w:hAnsi="仿宋" w:eastAsia="仿宋" w:cs="仿宋"/>
                <w:kern w:val="0"/>
                <w:sz w:val="24"/>
              </w:rPr>
              <w:t>（1）应对新员工进行三级安全培训教育，并经考核合格后方可上岗；</w:t>
            </w:r>
          </w:p>
          <w:p>
            <w:pPr>
              <w:tabs>
                <w:tab w:val="left" w:pos="420"/>
              </w:tabs>
              <w:rPr>
                <w:rFonts w:hint="eastAsia" w:ascii="仿宋" w:hAnsi="仿宋" w:eastAsia="仿宋" w:cs="仿宋"/>
                <w:kern w:val="0"/>
                <w:sz w:val="24"/>
              </w:rPr>
            </w:pPr>
            <w:r>
              <w:rPr>
                <w:rFonts w:hint="eastAsia" w:ascii="仿宋" w:hAnsi="仿宋" w:eastAsia="仿宋" w:cs="仿宋"/>
                <w:kern w:val="0"/>
                <w:sz w:val="24"/>
              </w:rPr>
              <w:t>（2）从业人员每年应接受再培训，再培训时间不得少于20</w:t>
            </w:r>
            <w:r>
              <w:rPr>
                <w:rFonts w:hint="eastAsia" w:ascii="仿宋" w:hAnsi="仿宋" w:eastAsia="仿宋" w:cs="仿宋"/>
                <w:kern w:val="0"/>
                <w:sz w:val="24"/>
              </w:rPr>
              <w:t>学时；</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（3）检维修前应对检维修人员进行作业前交底、安全培训教育</w:t>
            </w:r>
          </w:p>
        </w:tc>
        <w:tc>
          <w:tcPr>
            <w:tcW w:w="1250" w:type="dxa"/>
          </w:tcPr>
          <w:p>
            <w:pPr>
              <w:rPr>
                <w:rFonts w:ascii="仿宋" w:hAnsi="仿宋" w:eastAsia="仿宋" w:cs="仿宋"/>
                <w:sz w:val="24"/>
              </w:rPr>
            </w:pPr>
          </w:p>
        </w:tc>
        <w:tc>
          <w:tcPr>
            <w:tcW w:w="131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w:t>
            </w:r>
          </w:p>
        </w:tc>
        <w:tc>
          <w:tcPr>
            <w:tcW w:w="1002" w:type="dxa"/>
            <w:vMerge w:val="restart"/>
            <w:vAlign w:val="center"/>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设备</w:t>
            </w:r>
            <w:r>
              <w:rPr>
                <w:rFonts w:hint="eastAsia" w:ascii="仿宋" w:hAnsi="仿宋" w:eastAsia="仿宋" w:cs="仿宋"/>
                <w:kern w:val="0"/>
                <w:sz w:val="24"/>
                <w:lang w:val="zh-CN"/>
              </w:rPr>
              <w:t>设</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施及工</w:t>
            </w:r>
          </w:p>
          <w:p>
            <w:pPr>
              <w:tabs>
                <w:tab w:val="left" w:pos="420"/>
              </w:tabs>
              <w:rPr>
                <w:rFonts w:hint="eastAsia" w:ascii="仿宋" w:hAnsi="仿宋" w:eastAsia="仿宋" w:cs="仿宋"/>
                <w:kern w:val="0"/>
                <w:sz w:val="24"/>
              </w:rPr>
            </w:pPr>
            <w:r>
              <w:rPr>
                <w:rFonts w:hint="eastAsia" w:ascii="仿宋" w:hAnsi="仿宋" w:eastAsia="仿宋" w:cs="仿宋"/>
                <w:kern w:val="0"/>
                <w:sz w:val="24"/>
                <w:lang w:val="zh-CN"/>
              </w:rPr>
              <w:t>艺安全</w:t>
            </w: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3.1气体充装区</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气瓶充装台应设有防气瓶倾倒措施；</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气瓶充装台应设置充装超压报警装置或自动切断气源装置；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氢气充装区所有配电线路应使用镀锌钢管配线，钢管与钢管、钢管与电气设备、钢管与钢管附件之间应采用螺纹连接，应连接紧实无松动</w:t>
            </w:r>
            <w:r>
              <w:rPr>
                <w:rFonts w:hint="eastAsia" w:ascii="仿宋" w:hAnsi="仿宋" w:eastAsia="仿宋" w:cs="仿宋"/>
                <w:kern w:val="0"/>
                <w:sz w:val="24"/>
              </w:rPr>
              <w:t>；在电机进线口处、钢管与电气设备直接连接有困难处，应使用防爆挠性连接管连接，防爆挠性连接管应连接紧实无松动</w:t>
            </w:r>
            <w:r>
              <w:rPr>
                <w:rFonts w:hint="eastAsia" w:ascii="仿宋" w:hAnsi="仿宋" w:eastAsia="仿宋" w:cs="仿宋"/>
                <w:kern w:val="0"/>
                <w:sz w:val="24"/>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氧气、氢气充装台管道应设防静电接地装置；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氧气、氩气、氮气充装台应设紧急切断阀、安全阀、压力表，放空管道接至室外安全处，安全阀、压力表应定期校验；</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氢气充装台应设可燃气体检测报警装置，液氨充装台应设有毒气体检测报警装置；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7</w:t>
            </w:r>
            <w:r>
              <w:rPr>
                <w:rFonts w:hint="eastAsia" w:ascii="仿宋" w:hAnsi="仿宋" w:eastAsia="仿宋" w:cs="仿宋"/>
                <w:kern w:val="0"/>
                <w:sz w:val="24"/>
                <w:lang w:eastAsia="zh-CN"/>
              </w:rPr>
              <w:t>）</w:t>
            </w:r>
            <w:r>
              <w:rPr>
                <w:rFonts w:hint="eastAsia" w:ascii="仿宋" w:hAnsi="仿宋" w:eastAsia="仿宋" w:cs="仿宋"/>
                <w:kern w:val="0"/>
                <w:sz w:val="24"/>
              </w:rPr>
              <w:t>氢气充装区入口处应设人体静电消除装置；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8</w:t>
            </w:r>
            <w:r>
              <w:rPr>
                <w:rFonts w:hint="eastAsia" w:ascii="仿宋" w:hAnsi="仿宋" w:eastAsia="仿宋" w:cs="仿宋"/>
                <w:kern w:val="0"/>
                <w:sz w:val="24"/>
                <w:lang w:eastAsia="zh-CN"/>
              </w:rPr>
              <w:t>）</w:t>
            </w:r>
            <w:r>
              <w:rPr>
                <w:rFonts w:hint="eastAsia" w:ascii="仿宋" w:hAnsi="仿宋" w:eastAsia="仿宋" w:cs="仿宋"/>
                <w:kern w:val="0"/>
                <w:sz w:val="24"/>
              </w:rPr>
              <w:t>氢气充装区所有电气设备的金属外壳、金属构件均应接地</w:t>
            </w:r>
          </w:p>
        </w:tc>
        <w:tc>
          <w:tcPr>
            <w:tcW w:w="1250" w:type="dxa"/>
            <w:vMerge w:val="restart"/>
          </w:tcPr>
          <w:p>
            <w:pPr>
              <w:rPr>
                <w:rFonts w:ascii="仿宋" w:hAnsi="仿宋" w:eastAsia="仿宋" w:cs="仿宋"/>
                <w:sz w:val="24"/>
              </w:rPr>
            </w:pPr>
          </w:p>
        </w:tc>
        <w:tc>
          <w:tcPr>
            <w:tcW w:w="131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3.2气瓶存放区</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气瓶存放区实瓶、空瓶、待检瓶应分区存放并设有明显标志，严禁混放；</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气瓶存放区应设防气瓶防倾倒措施，易燃气体气瓶防倾倒措施严禁使用铁链；</w:t>
            </w:r>
          </w:p>
          <w:p>
            <w:pPr>
              <w:tabs>
                <w:tab w:val="left" w:pos="420"/>
              </w:tabs>
              <w:rPr>
                <w:rFonts w:hint="eastAsia" w:ascii="仿宋" w:hAnsi="仿宋" w:eastAsia="仿宋" w:cs="仿宋"/>
                <w:kern w:val="0"/>
                <w:sz w:val="24"/>
              </w:rPr>
            </w:pPr>
            <w:r>
              <w:rPr>
                <w:rFonts w:hint="eastAsia" w:ascii="仿宋" w:hAnsi="仿宋" w:eastAsia="仿宋" w:cs="仿宋"/>
                <w:kern w:val="0"/>
                <w:sz w:val="24"/>
              </w:rPr>
              <w:t>气瓶应有制造和定期检验标志；</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大于5L的气瓶应配有螺纹连接的快装式瓶帽或保护罩，实瓶必须配戴好气瓶瓶帽和防震圈；</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同一房间内氢气实瓶存放量不应超过60瓶；</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7</w:t>
            </w:r>
            <w:r>
              <w:rPr>
                <w:rFonts w:hint="eastAsia" w:ascii="仿宋" w:hAnsi="仿宋" w:eastAsia="仿宋" w:cs="仿宋"/>
                <w:kern w:val="0"/>
                <w:sz w:val="24"/>
                <w:lang w:eastAsia="zh-CN"/>
              </w:rPr>
              <w:t>）</w:t>
            </w:r>
            <w:r>
              <w:rPr>
                <w:rFonts w:hint="eastAsia" w:ascii="仿宋" w:hAnsi="仿宋" w:eastAsia="仿宋" w:cs="仿宋"/>
                <w:kern w:val="0"/>
                <w:sz w:val="24"/>
              </w:rPr>
              <w:t>氢气气瓶、乙炔气瓶存放区，氢气集束车停放区所有配电线路应使用镀锌钢管配线，钢管与钢管、钢管与电气设备、钢管与钢管附件之间应采用螺纹连接，应连接紧实无松动</w:t>
            </w:r>
            <w:r>
              <w:rPr>
                <w:rFonts w:hint="eastAsia" w:ascii="仿宋" w:hAnsi="仿宋" w:eastAsia="仿宋" w:cs="仿宋"/>
                <w:kern w:val="0"/>
                <w:sz w:val="24"/>
              </w:rPr>
              <w:t>；在电机进线口处、钢管与电气设备直接连接有困难处，应使用防爆挠性连接管连接，防爆挠性连接管应连接紧实无松动</w:t>
            </w:r>
            <w:r>
              <w:rPr>
                <w:rFonts w:hint="eastAsia" w:ascii="仿宋" w:hAnsi="仿宋" w:eastAsia="仿宋" w:cs="仿宋"/>
                <w:kern w:val="0"/>
                <w:sz w:val="24"/>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8</w:t>
            </w:r>
            <w:r>
              <w:rPr>
                <w:rFonts w:hint="eastAsia" w:ascii="仿宋" w:hAnsi="仿宋" w:eastAsia="仿宋" w:cs="仿宋"/>
                <w:kern w:val="0"/>
                <w:sz w:val="24"/>
                <w:lang w:eastAsia="zh-CN"/>
              </w:rPr>
              <w:t>）</w:t>
            </w:r>
            <w:r>
              <w:rPr>
                <w:rFonts w:hint="eastAsia" w:ascii="仿宋" w:hAnsi="仿宋" w:eastAsia="仿宋" w:cs="仿宋"/>
                <w:kern w:val="0"/>
                <w:sz w:val="24"/>
              </w:rPr>
              <w:t>氢气气瓶、乙炔气瓶存放区，氢气集束车停放区应设可燃气体检测报警装置，液氨存放区应设有毒气体检测报警装置；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rPr>
              <w:t>氢气气瓶、乙炔气瓶存放区，氢气集束车停放区入口处用设置人体静电消除装置</w:t>
            </w:r>
          </w:p>
        </w:tc>
        <w:tc>
          <w:tcPr>
            <w:tcW w:w="1250" w:type="dxa"/>
            <w:vMerge w:val="continue"/>
          </w:tcPr>
          <w:p>
            <w:pPr>
              <w:tabs>
                <w:tab w:val="left" w:pos="420"/>
              </w:tabs>
              <w:rPr>
                <w:rFonts w:ascii="仿宋" w:hAnsi="仿宋" w:eastAsia="仿宋" w:cs="仿宋"/>
                <w:kern w:val="0"/>
                <w:sz w:val="24"/>
              </w:rPr>
            </w:pPr>
          </w:p>
        </w:tc>
        <w:tc>
          <w:tcPr>
            <w:tcW w:w="131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w:t>
            </w:r>
          </w:p>
        </w:tc>
        <w:tc>
          <w:tcPr>
            <w:tcW w:w="1002" w:type="dxa"/>
            <w:vMerge w:val="restart"/>
            <w:vAlign w:val="center"/>
          </w:tcPr>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设备</w:t>
            </w:r>
            <w:r>
              <w:rPr>
                <w:rFonts w:hint="eastAsia" w:ascii="仿宋" w:hAnsi="仿宋" w:eastAsia="仿宋" w:cs="仿宋"/>
                <w:kern w:val="0"/>
                <w:sz w:val="24"/>
                <w:lang w:val="zh-CN"/>
              </w:rPr>
              <w:t>设</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lang w:val="zh-CN"/>
              </w:rPr>
              <w:t>施及工</w:t>
            </w:r>
          </w:p>
          <w:p>
            <w:pPr>
              <w:tabs>
                <w:tab w:val="left" w:pos="420"/>
              </w:tabs>
              <w:rPr>
                <w:rFonts w:hint="eastAsia" w:ascii="仿宋" w:hAnsi="仿宋" w:eastAsia="仿宋" w:cs="仿宋"/>
                <w:kern w:val="0"/>
                <w:sz w:val="24"/>
              </w:rPr>
            </w:pPr>
            <w:r>
              <w:rPr>
                <w:rFonts w:hint="eastAsia" w:ascii="仿宋" w:hAnsi="仿宋" w:eastAsia="仿宋" w:cs="仿宋"/>
                <w:kern w:val="0"/>
                <w:sz w:val="24"/>
                <w:lang w:val="zh-CN"/>
              </w:rPr>
              <w:t>艺安全</w:t>
            </w: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3.3气体储罐区</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液氧储罐周围5m范围内不应有可燃物；</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液化气体储罐应装设有准确、安全、醒目的液位、压力显示装置，压力表应定期校验；</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气体储罐显著位置应粘贴特种设备登记标志，并确保储罐及其安全附件处于有效检验期内</w:t>
            </w:r>
          </w:p>
        </w:tc>
        <w:tc>
          <w:tcPr>
            <w:tcW w:w="1250" w:type="dxa"/>
            <w:vMerge w:val="continue"/>
          </w:tcPr>
          <w:p>
            <w:pPr>
              <w:tabs>
                <w:tab w:val="left" w:pos="420"/>
              </w:tabs>
              <w:rPr>
                <w:rFonts w:ascii="仿宋" w:hAnsi="仿宋" w:eastAsia="仿宋" w:cs="仿宋"/>
                <w:kern w:val="0"/>
                <w:sz w:val="24"/>
              </w:rPr>
            </w:pPr>
          </w:p>
        </w:tc>
        <w:tc>
          <w:tcPr>
            <w:tcW w:w="131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3.4气体管道</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气体管道及安全附件应定期检验；</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氧气、氢气管道应设防静电接地装置，法兰或螺纹接头应采用金属导线跨接</w:t>
            </w:r>
          </w:p>
        </w:tc>
        <w:tc>
          <w:tcPr>
            <w:tcW w:w="1250" w:type="dxa"/>
            <w:vMerge w:val="continue"/>
          </w:tcPr>
          <w:p>
            <w:pPr>
              <w:tabs>
                <w:tab w:val="left" w:pos="420"/>
              </w:tabs>
              <w:rPr>
                <w:rFonts w:ascii="仿宋" w:hAnsi="仿宋" w:eastAsia="仿宋" w:cs="仿宋"/>
                <w:kern w:val="0"/>
                <w:sz w:val="24"/>
              </w:rPr>
            </w:pPr>
          </w:p>
        </w:tc>
        <w:tc>
          <w:tcPr>
            <w:tcW w:w="131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3.5气体生产区</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制氢车间内所有配电线路应使用镀锌钢管配线，钢管与钢管、钢管与电气设备、钢管与钢管附件之间应采用螺纹连接，应连接紧实无松动</w:t>
            </w:r>
            <w:r>
              <w:rPr>
                <w:rFonts w:hint="eastAsia" w:ascii="仿宋" w:hAnsi="仿宋" w:eastAsia="仿宋" w:cs="仿宋"/>
                <w:kern w:val="0"/>
                <w:sz w:val="24"/>
              </w:rPr>
              <w:t>；在电机进线口处、钢管与电气设备直接连接有困难处，应使用防爆挠性连接管连接,防爆挠性连接管应连接紧实无松动</w:t>
            </w:r>
            <w:r>
              <w:rPr>
                <w:rFonts w:hint="eastAsia" w:ascii="仿宋" w:hAnsi="仿宋" w:eastAsia="仿宋" w:cs="仿宋"/>
                <w:kern w:val="0"/>
                <w:sz w:val="24"/>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制氢车间入口处应设置人体静电消除装置；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制氢车间内所有电气设备的金属外壳、金属构件均应保护接地；</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水电解制氢装置中分离器、洗涤器、换热器、纯化器等压力容器显著位置应粘贴特种设备登记标志，安全附件处于有效检验期内；</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w:t>
            </w:r>
            <w:r>
              <w:rPr>
                <w:rFonts w:hint="eastAsia" w:ascii="仿宋" w:hAnsi="仿宋" w:eastAsia="仿宋" w:cs="仿宋"/>
                <w:kern w:val="0"/>
                <w:sz w:val="24"/>
              </w:rPr>
              <w:t>制氢车间内应设置可燃气体检测报警装置；</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6</w:t>
            </w:r>
            <w:r>
              <w:rPr>
                <w:rFonts w:hint="eastAsia" w:ascii="仿宋" w:hAnsi="仿宋" w:eastAsia="仿宋" w:cs="仿宋"/>
                <w:kern w:val="0"/>
                <w:sz w:val="24"/>
                <w:lang w:eastAsia="zh-CN"/>
              </w:rPr>
              <w:t>）</w:t>
            </w:r>
            <w:r>
              <w:rPr>
                <w:rFonts w:hint="eastAsia" w:ascii="仿宋" w:hAnsi="仿宋" w:eastAsia="仿宋" w:cs="仿宋"/>
                <w:kern w:val="0"/>
                <w:sz w:val="24"/>
              </w:rPr>
              <w:t>空压机应设置紧急停车开关</w:t>
            </w:r>
          </w:p>
        </w:tc>
        <w:tc>
          <w:tcPr>
            <w:tcW w:w="1250" w:type="dxa"/>
            <w:vMerge w:val="continue"/>
          </w:tcPr>
          <w:p>
            <w:pPr>
              <w:tabs>
                <w:tab w:val="left" w:pos="420"/>
              </w:tabs>
              <w:rPr>
                <w:rFonts w:ascii="仿宋" w:hAnsi="仿宋" w:eastAsia="仿宋" w:cs="仿宋"/>
                <w:kern w:val="0"/>
                <w:sz w:val="24"/>
              </w:rPr>
            </w:pPr>
          </w:p>
        </w:tc>
        <w:tc>
          <w:tcPr>
            <w:tcW w:w="131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3.6辅助服务区</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水处理药剂存放处地面应经过防腐、防渗漏处理；</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水处理车间内，水处理药剂存放应处和加药处附近应设置洗眼器</w:t>
            </w:r>
          </w:p>
        </w:tc>
        <w:tc>
          <w:tcPr>
            <w:tcW w:w="1250" w:type="dxa"/>
            <w:vMerge w:val="continue"/>
          </w:tcPr>
          <w:p>
            <w:pPr>
              <w:tabs>
                <w:tab w:val="left" w:pos="420"/>
              </w:tabs>
              <w:rPr>
                <w:rFonts w:ascii="仿宋" w:hAnsi="仿宋" w:eastAsia="仿宋" w:cs="仿宋"/>
                <w:kern w:val="0"/>
                <w:sz w:val="24"/>
              </w:rPr>
            </w:pPr>
          </w:p>
        </w:tc>
        <w:tc>
          <w:tcPr>
            <w:tcW w:w="1312" w:type="dxa"/>
            <w:vMerge w:val="continue"/>
          </w:tcPr>
          <w:p>
            <w:pPr>
              <w:tabs>
                <w:tab w:val="left" w:pos="420"/>
              </w:tabs>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w:t>
            </w:r>
          </w:p>
        </w:tc>
        <w:tc>
          <w:tcPr>
            <w:tcW w:w="1002"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作业安全</w:t>
            </w: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4.1特殊作业</w:t>
            </w:r>
          </w:p>
        </w:tc>
        <w:tc>
          <w:tcPr>
            <w:tcW w:w="8900" w:type="dxa"/>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动火作业、进入受限空间作业、破土作业、临时用电作业、高处作业、吊装作业等特殊作业应实施作业许可管理，严格履行审批手续，应由主要负责人审批；</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特殊作业</w:t>
            </w:r>
            <w:r>
              <w:rPr>
                <w:rFonts w:hint="eastAsia" w:ascii="仿宋" w:hAnsi="仿宋" w:eastAsia="仿宋" w:cs="仿宋"/>
                <w:kern w:val="0"/>
                <w:sz w:val="24"/>
              </w:rPr>
              <w:t>现场设置公示牌，内容至少包含施工方案、技术交底、培训记录、作业票，外来施工还应增加进厂审批手续；</w:t>
            </w:r>
          </w:p>
          <w:p>
            <w:pPr>
              <w:tabs>
                <w:tab w:val="left" w:pos="420"/>
              </w:tabs>
              <w:rPr>
                <w:rFonts w:hint="eastAsia" w:ascii="仿宋" w:hAnsi="仿宋" w:eastAsia="仿宋" w:cs="仿宋"/>
                <w:kern w:val="0"/>
                <w:sz w:val="24"/>
              </w:rPr>
            </w:pPr>
            <w:r>
              <w:rPr>
                <w:rFonts w:hint="eastAsia" w:ascii="仿宋" w:hAnsi="仿宋" w:eastAsia="仿宋" w:cs="仿宋"/>
                <w:kern w:val="0"/>
                <w:sz w:val="24"/>
              </w:rPr>
              <w:t>（3）特殊作业</w:t>
            </w:r>
            <w:r>
              <w:rPr>
                <w:rFonts w:hint="eastAsia" w:ascii="仿宋" w:hAnsi="仿宋" w:eastAsia="仿宋" w:cs="仿宋"/>
                <w:kern w:val="0"/>
                <w:sz w:val="24"/>
              </w:rPr>
              <w:t>现场配备相应安全防护用品（具）、消防设施及器材；</w:t>
            </w:r>
          </w:p>
          <w:p>
            <w:pPr>
              <w:tabs>
                <w:tab w:val="left" w:pos="420"/>
              </w:tabs>
              <w:rPr>
                <w:rFonts w:hint="eastAsia" w:ascii="仿宋" w:hAnsi="仿宋" w:eastAsia="仿宋" w:cs="仿宋"/>
                <w:kern w:val="0"/>
                <w:sz w:val="24"/>
                <w:lang w:val="zh-CN"/>
              </w:rPr>
            </w:pPr>
            <w:r>
              <w:rPr>
                <w:rFonts w:hint="eastAsia" w:ascii="仿宋" w:hAnsi="仿宋" w:eastAsia="仿宋" w:cs="仿宋"/>
                <w:kern w:val="0"/>
                <w:sz w:val="24"/>
              </w:rPr>
              <w:t>（4）特殊作业监护人员应与作业票签名人员一致，按要求进行现场监护，不得随意离开监护岗位</w:t>
            </w:r>
          </w:p>
        </w:tc>
        <w:tc>
          <w:tcPr>
            <w:tcW w:w="1250" w:type="dxa"/>
            <w:vMerge w:val="restart"/>
          </w:tcPr>
          <w:p>
            <w:pPr>
              <w:rPr>
                <w:rFonts w:ascii="仿宋" w:hAnsi="仿宋" w:eastAsia="仿宋" w:cs="仿宋"/>
                <w:sz w:val="24"/>
              </w:rPr>
            </w:pPr>
          </w:p>
        </w:tc>
        <w:tc>
          <w:tcPr>
            <w:tcW w:w="131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4.2生产作业</w:t>
            </w:r>
          </w:p>
        </w:tc>
        <w:tc>
          <w:tcPr>
            <w:tcW w:w="8900" w:type="dxa"/>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装卸气瓶应轻装轻卸，避免与其他坚硬物体碰撞，不应用抛、滚、滑、摔、碰等方式装卸气瓶；</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用机械起重设备调运散装气瓶时，应将气瓶装入集装格或集装篮中，不应使用链绳、钢丝绳捆绑或勾吊瓶帽等方式吊运气瓶；</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装卸氧气及氧化性气瓶时，工作服、手套和装卸工具、机具上不应粘有油脂；</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w:t>
            </w:r>
            <w:r>
              <w:rPr>
                <w:rFonts w:hint="eastAsia" w:ascii="仿宋" w:hAnsi="仿宋" w:eastAsia="仿宋" w:cs="仿宋"/>
                <w:kern w:val="0"/>
                <w:sz w:val="24"/>
              </w:rPr>
              <w:t>充装液化气体时应采用逐瓶称重的方式进行充装，禁止无称重直接充装</w:t>
            </w:r>
          </w:p>
        </w:tc>
        <w:tc>
          <w:tcPr>
            <w:tcW w:w="1250" w:type="dxa"/>
            <w:vMerge w:val="continue"/>
          </w:tcPr>
          <w:p>
            <w:pPr>
              <w:rPr>
                <w:rFonts w:ascii="仿宋" w:hAnsi="仿宋" w:eastAsia="仿宋" w:cs="仿宋"/>
                <w:sz w:val="24"/>
              </w:rPr>
            </w:pPr>
          </w:p>
        </w:tc>
        <w:tc>
          <w:tcPr>
            <w:tcW w:w="1312"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5</w:t>
            </w:r>
          </w:p>
        </w:tc>
        <w:tc>
          <w:tcPr>
            <w:tcW w:w="2005"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危险化学品管理</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（1）企业应建立危险化学品档案，档案内容至少包括：气体名称及存放、生产地点，数量、危险性分类；</w:t>
            </w:r>
          </w:p>
          <w:p>
            <w:pPr>
              <w:tabs>
                <w:tab w:val="left" w:pos="420"/>
              </w:tabs>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rPr>
              <w:t>气瓶充装单位应在所充装的气瓶上粘贴符合安全技术规范及国家标准规定的警示标签和充装标签</w:t>
            </w:r>
          </w:p>
        </w:tc>
        <w:tc>
          <w:tcPr>
            <w:tcW w:w="1250" w:type="dxa"/>
          </w:tcPr>
          <w:p>
            <w:pPr>
              <w:jc w:val="center"/>
              <w:rPr>
                <w:rFonts w:ascii="仿宋" w:hAnsi="仿宋" w:eastAsia="仿宋" w:cs="仿宋"/>
                <w:kern w:val="0"/>
                <w:sz w:val="24"/>
              </w:rPr>
            </w:pPr>
          </w:p>
        </w:tc>
        <w:tc>
          <w:tcPr>
            <w:tcW w:w="1312" w:type="dxa"/>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6</w:t>
            </w:r>
          </w:p>
        </w:tc>
        <w:tc>
          <w:tcPr>
            <w:tcW w:w="1002" w:type="dxa"/>
            <w:vMerge w:val="restart"/>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应急救援</w:t>
            </w: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6.1应急救援物资配备</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w:t>
            </w:r>
            <w:r>
              <w:rPr>
                <w:rFonts w:hint="eastAsia" w:ascii="仿宋" w:hAnsi="仿宋" w:eastAsia="仿宋" w:cs="仿宋"/>
                <w:kern w:val="0"/>
                <w:sz w:val="24"/>
              </w:rPr>
              <w:t>厂区各场所应按照《建筑灭火器配置设计规范》（GB50140-2005）的要求配备相应灭火器</w:t>
            </w:r>
            <w:r>
              <w:rPr>
                <w:rFonts w:hint="eastAsia" w:ascii="仿宋" w:hAnsi="仿宋" w:eastAsia="仿宋" w:cs="仿宋"/>
                <w:kern w:val="0"/>
                <w:sz w:val="24"/>
              </w:rPr>
              <w:t>；</w:t>
            </w:r>
          </w:p>
          <w:p>
            <w:pPr>
              <w:tabs>
                <w:tab w:val="left" w:pos="420"/>
              </w:tabs>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w:t>
            </w:r>
            <w:r>
              <w:rPr>
                <w:rFonts w:hint="eastAsia" w:ascii="仿宋" w:hAnsi="仿宋" w:eastAsia="仿宋" w:cs="仿宋"/>
                <w:kern w:val="0"/>
                <w:sz w:val="24"/>
              </w:rPr>
              <w:t>厂区应设置室外消火栓系统，建筑占地面积大于300㎡的厂房和仓库应设置室内消火栓系统</w:t>
            </w:r>
            <w:r>
              <w:rPr>
                <w:rFonts w:hint="eastAsia" w:ascii="仿宋" w:hAnsi="仿宋" w:eastAsia="仿宋" w:cs="仿宋"/>
                <w:kern w:val="0"/>
                <w:sz w:val="24"/>
              </w:rPr>
              <w:t>；</w:t>
            </w:r>
          </w:p>
          <w:p>
            <w:pPr>
              <w:tabs>
                <w:tab w:val="left" w:pos="420"/>
              </w:tabs>
              <w:rPr>
                <w:rFonts w:hint="eastAsia" w:ascii="仿宋" w:hAnsi="仿宋" w:eastAsia="仿宋" w:cs="仿宋"/>
                <w:kern w:val="0"/>
                <w:sz w:val="24"/>
              </w:rPr>
            </w:pPr>
            <w:r>
              <w:rPr>
                <w:rFonts w:hint="eastAsia" w:ascii="仿宋" w:hAnsi="仿宋" w:eastAsia="仿宋" w:cs="仿宋"/>
                <w:kern w:val="0"/>
                <w:sz w:val="24"/>
              </w:rPr>
              <w:t>（3）在危险化学品单位作业现场，应急救援物资应放在应急救援器材专用柜或指定地点。应急物资至少按以下要求配备：正压式空气呼吸器2套、轻型防化服2套、A型褐色过滤式防毒面具每人1具、手电筒（易燃易爆场所须配防爆型）当班人员每人1个、对讲机（易燃易爆场所须配防爆型）2</w:t>
            </w:r>
            <w:r>
              <w:rPr>
                <w:rFonts w:hint="eastAsia" w:ascii="仿宋" w:hAnsi="仿宋" w:eastAsia="仿宋" w:cs="仿宋"/>
                <w:kern w:val="0"/>
                <w:sz w:val="24"/>
              </w:rPr>
              <w:t>个、急救包1个</w:t>
            </w:r>
          </w:p>
        </w:tc>
        <w:tc>
          <w:tcPr>
            <w:tcW w:w="1250" w:type="dxa"/>
            <w:vMerge w:val="restart"/>
          </w:tcPr>
          <w:p>
            <w:pPr>
              <w:rPr>
                <w:rFonts w:ascii="仿宋" w:hAnsi="仿宋" w:eastAsia="仿宋" w:cs="仿宋"/>
                <w:sz w:val="24"/>
              </w:rPr>
            </w:pPr>
          </w:p>
        </w:tc>
        <w:tc>
          <w:tcPr>
            <w:tcW w:w="1312" w:type="dxa"/>
            <w:vMerge w:val="restart"/>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Merge w:val="continue"/>
            <w:vAlign w:val="center"/>
          </w:tcPr>
          <w:p>
            <w:pPr>
              <w:tabs>
                <w:tab w:val="left" w:pos="420"/>
              </w:tabs>
              <w:rPr>
                <w:rFonts w:hint="eastAsia" w:ascii="仿宋" w:hAnsi="仿宋" w:eastAsia="仿宋" w:cs="仿宋"/>
                <w:kern w:val="0"/>
                <w:sz w:val="24"/>
              </w:rPr>
            </w:pPr>
          </w:p>
        </w:tc>
        <w:tc>
          <w:tcPr>
            <w:tcW w:w="1002" w:type="dxa"/>
            <w:vMerge w:val="continue"/>
            <w:vAlign w:val="center"/>
          </w:tcPr>
          <w:p>
            <w:pPr>
              <w:tabs>
                <w:tab w:val="left" w:pos="420"/>
              </w:tabs>
              <w:rPr>
                <w:rFonts w:hint="eastAsia" w:ascii="仿宋" w:hAnsi="仿宋" w:eastAsia="仿宋" w:cs="仿宋"/>
                <w:kern w:val="0"/>
                <w:sz w:val="24"/>
              </w:rPr>
            </w:pPr>
          </w:p>
        </w:tc>
        <w:tc>
          <w:tcPr>
            <w:tcW w:w="1003"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6.2应急预案及演练</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每年至少组织一次综合应急预案演练或者专项应急预案演练，每半年至少组织一次现场处置方案演练</w:t>
            </w:r>
          </w:p>
        </w:tc>
        <w:tc>
          <w:tcPr>
            <w:tcW w:w="1250" w:type="dxa"/>
            <w:vMerge w:val="continue"/>
          </w:tcPr>
          <w:p>
            <w:pPr>
              <w:rPr>
                <w:rFonts w:ascii="仿宋" w:hAnsi="仿宋" w:eastAsia="仿宋" w:cs="仿宋"/>
                <w:sz w:val="24"/>
              </w:rPr>
            </w:pPr>
          </w:p>
        </w:tc>
        <w:tc>
          <w:tcPr>
            <w:tcW w:w="1312"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7"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7</w:t>
            </w:r>
          </w:p>
        </w:tc>
        <w:tc>
          <w:tcPr>
            <w:tcW w:w="2005" w:type="dxa"/>
            <w:gridSpan w:val="2"/>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安全检查及隐患治理</w:t>
            </w:r>
          </w:p>
        </w:tc>
        <w:tc>
          <w:tcPr>
            <w:tcW w:w="8900" w:type="dxa"/>
            <w:vAlign w:val="center"/>
          </w:tcPr>
          <w:p>
            <w:pPr>
              <w:tabs>
                <w:tab w:val="left" w:pos="420"/>
              </w:tabs>
              <w:rPr>
                <w:rFonts w:hint="eastAsia" w:ascii="仿宋" w:hAnsi="仿宋" w:eastAsia="仿宋" w:cs="仿宋"/>
                <w:kern w:val="0"/>
                <w:sz w:val="24"/>
              </w:rPr>
            </w:pPr>
            <w:r>
              <w:rPr>
                <w:rFonts w:hint="eastAsia" w:ascii="仿宋" w:hAnsi="仿宋" w:eastAsia="仿宋" w:cs="仿宋"/>
                <w:kern w:val="0"/>
                <w:sz w:val="24"/>
              </w:rPr>
              <w:t>企业应定期开展安全检查及事故隐患排查，建立隐患管理台帐，明确整改负责人、整改时限等要求，及时消除隐患：</w:t>
            </w:r>
          </w:p>
          <w:p>
            <w:pPr>
              <w:tabs>
                <w:tab w:val="left" w:pos="420"/>
              </w:tabs>
              <w:rPr>
                <w:rFonts w:hint="eastAsia" w:ascii="仿宋" w:hAnsi="仿宋" w:eastAsia="仿宋" w:cs="仿宋"/>
                <w:kern w:val="0"/>
                <w:sz w:val="24"/>
              </w:rPr>
            </w:pPr>
            <w:r>
              <w:rPr>
                <w:rFonts w:hint="eastAsia" w:ascii="仿宋" w:hAnsi="仿宋" w:eastAsia="仿宋" w:cs="仿宋"/>
                <w:kern w:val="0"/>
                <w:sz w:val="24"/>
              </w:rPr>
              <w:t>（1）每班巡检至少应包含电解槽、空压机、鱼雷车、储罐、输送泵等生产设备设施是否完好，运行是否正常；电气线路、可燃或有毒气体浓度报警装置、人体静电消除装置、静电接地系统等配套设施连接是否有效，有无破损脱落；气体汇流排管线标识是否清晰，有无跑冒滴漏现象；安全阀、压力表是否正常，是否在有效期内；灭火器材是否按规定设置等内容；</w:t>
            </w:r>
          </w:p>
          <w:p>
            <w:pPr>
              <w:tabs>
                <w:tab w:val="left" w:pos="420"/>
              </w:tabs>
              <w:rPr>
                <w:rFonts w:hint="eastAsia" w:ascii="仿宋" w:hAnsi="仿宋" w:eastAsia="仿宋" w:cs="仿宋"/>
                <w:kern w:val="0"/>
                <w:sz w:val="24"/>
              </w:rPr>
            </w:pPr>
            <w:r>
              <w:rPr>
                <w:rFonts w:hint="eastAsia" w:ascii="仿宋" w:hAnsi="仿宋" w:eastAsia="仿宋" w:cs="仿宋"/>
                <w:kern w:val="0"/>
                <w:sz w:val="24"/>
              </w:rPr>
              <w:t>（2）每周至少对发电机房、消防泵房、配电房等场所开展一次检查，确保相关设备设施的完好性、有效性；</w:t>
            </w:r>
          </w:p>
          <w:p>
            <w:pPr>
              <w:tabs>
                <w:tab w:val="left" w:pos="420"/>
              </w:tabs>
              <w:rPr>
                <w:rFonts w:hint="eastAsia" w:ascii="仿宋" w:hAnsi="仿宋" w:eastAsia="仿宋" w:cs="仿宋"/>
                <w:kern w:val="0"/>
                <w:sz w:val="24"/>
              </w:rPr>
            </w:pPr>
            <w:r>
              <w:rPr>
                <w:rFonts w:hint="eastAsia" w:ascii="仿宋" w:hAnsi="仿宋" w:eastAsia="仿宋" w:cs="仿宋"/>
                <w:kern w:val="0"/>
                <w:sz w:val="24"/>
              </w:rPr>
              <w:t>（3）每半月至少对灭火器、应急灯的完好性和有效性开展一次检查；</w:t>
            </w:r>
          </w:p>
          <w:p>
            <w:pPr>
              <w:tabs>
                <w:tab w:val="left" w:pos="420"/>
              </w:tabs>
              <w:rPr>
                <w:rFonts w:hint="eastAsia" w:ascii="仿宋" w:hAnsi="仿宋" w:eastAsia="仿宋" w:cs="仿宋"/>
                <w:kern w:val="0"/>
                <w:sz w:val="24"/>
              </w:rPr>
            </w:pPr>
            <w:r>
              <w:rPr>
                <w:rFonts w:hint="eastAsia" w:ascii="仿宋" w:hAnsi="仿宋" w:eastAsia="仿宋" w:cs="仿宋"/>
                <w:kern w:val="0"/>
                <w:sz w:val="24"/>
              </w:rPr>
              <w:t>（4）每月至少对可燃气体浓度报警装置、有毒气体浓度报警装置、充装超压报警装置、自动切断气源装置、紧急切断阀、紧急停车系统等开展一次性能检查或测试；</w:t>
            </w:r>
          </w:p>
          <w:p>
            <w:pPr>
              <w:tabs>
                <w:tab w:val="left" w:pos="420"/>
              </w:tabs>
              <w:rPr>
                <w:rFonts w:hint="eastAsia" w:ascii="仿宋" w:hAnsi="仿宋" w:eastAsia="仿宋" w:cs="仿宋"/>
                <w:kern w:val="0"/>
                <w:sz w:val="24"/>
              </w:rPr>
            </w:pPr>
            <w:r>
              <w:rPr>
                <w:rFonts w:hint="eastAsia" w:ascii="仿宋" w:hAnsi="仿宋" w:eastAsia="仿宋" w:cs="仿宋"/>
                <w:kern w:val="0"/>
                <w:sz w:val="24"/>
              </w:rPr>
              <w:t>（5）主要负责人每月至少按照《深圳市危险化学品企业现场安全检查系列指引》及本清单内容组织一次全面隐患排查；</w:t>
            </w:r>
          </w:p>
          <w:p>
            <w:pPr>
              <w:tabs>
                <w:tab w:val="left" w:pos="420"/>
              </w:tabs>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bookmarkStart w:id="2" w:name="_GoBack"/>
            <w:bookmarkEnd w:id="2"/>
            <w:r>
              <w:rPr>
                <w:rFonts w:hint="eastAsia" w:ascii="仿宋" w:hAnsi="仿宋" w:eastAsia="仿宋" w:cs="仿宋"/>
                <w:kern w:val="0"/>
                <w:sz w:val="24"/>
              </w:rPr>
              <w:t>）每半年至少对爆炸危险区域内静电接地主干线、人体静电消除装置等开展一次接地电阻检测</w:t>
            </w:r>
          </w:p>
        </w:tc>
        <w:tc>
          <w:tcPr>
            <w:tcW w:w="1250" w:type="dxa"/>
          </w:tcPr>
          <w:p>
            <w:pPr>
              <w:jc w:val="center"/>
              <w:rPr>
                <w:rFonts w:ascii="仿宋" w:hAnsi="仿宋" w:eastAsia="仿宋" w:cs="仿宋"/>
                <w:kern w:val="0"/>
                <w:sz w:val="24"/>
              </w:rPr>
            </w:pPr>
          </w:p>
        </w:tc>
        <w:tc>
          <w:tcPr>
            <w:tcW w:w="1312" w:type="dxa"/>
          </w:tcPr>
          <w:p>
            <w:pPr>
              <w:jc w:val="center"/>
              <w:rPr>
                <w:rFonts w:ascii="仿宋" w:hAnsi="仿宋" w:eastAsia="仿宋" w:cs="仿宋"/>
                <w:kern w:val="0"/>
                <w:sz w:val="24"/>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06D"/>
    <w:multiLevelType w:val="multilevel"/>
    <w:tmpl w:val="0BB8406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5C81"/>
    <w:rsid w:val="00015E4F"/>
    <w:rsid w:val="000543A3"/>
    <w:rsid w:val="00065249"/>
    <w:rsid w:val="00075FC6"/>
    <w:rsid w:val="000801DC"/>
    <w:rsid w:val="000A5757"/>
    <w:rsid w:val="0011400C"/>
    <w:rsid w:val="0014561B"/>
    <w:rsid w:val="001530D2"/>
    <w:rsid w:val="001C175F"/>
    <w:rsid w:val="001C198E"/>
    <w:rsid w:val="001E1630"/>
    <w:rsid w:val="001E2F43"/>
    <w:rsid w:val="002476D3"/>
    <w:rsid w:val="002C1C16"/>
    <w:rsid w:val="002E565D"/>
    <w:rsid w:val="002F7F17"/>
    <w:rsid w:val="00305069"/>
    <w:rsid w:val="00310ECA"/>
    <w:rsid w:val="0031747C"/>
    <w:rsid w:val="00321672"/>
    <w:rsid w:val="00343703"/>
    <w:rsid w:val="00372366"/>
    <w:rsid w:val="00397216"/>
    <w:rsid w:val="003B45AA"/>
    <w:rsid w:val="003D161C"/>
    <w:rsid w:val="003D3345"/>
    <w:rsid w:val="003E7A36"/>
    <w:rsid w:val="003F016F"/>
    <w:rsid w:val="00440217"/>
    <w:rsid w:val="004435CB"/>
    <w:rsid w:val="004463D7"/>
    <w:rsid w:val="00456522"/>
    <w:rsid w:val="004C49D2"/>
    <w:rsid w:val="00541F50"/>
    <w:rsid w:val="00596A02"/>
    <w:rsid w:val="005E5EF5"/>
    <w:rsid w:val="005F5A90"/>
    <w:rsid w:val="00610060"/>
    <w:rsid w:val="006140B5"/>
    <w:rsid w:val="0065212C"/>
    <w:rsid w:val="0066689F"/>
    <w:rsid w:val="006A469E"/>
    <w:rsid w:val="006E12D7"/>
    <w:rsid w:val="006E3319"/>
    <w:rsid w:val="007213DD"/>
    <w:rsid w:val="00724A14"/>
    <w:rsid w:val="00727BD9"/>
    <w:rsid w:val="00737CAD"/>
    <w:rsid w:val="00755C81"/>
    <w:rsid w:val="00803068"/>
    <w:rsid w:val="0083737B"/>
    <w:rsid w:val="00850075"/>
    <w:rsid w:val="00865577"/>
    <w:rsid w:val="00885C2C"/>
    <w:rsid w:val="00892C2C"/>
    <w:rsid w:val="008D115E"/>
    <w:rsid w:val="008E76DE"/>
    <w:rsid w:val="008F5F0E"/>
    <w:rsid w:val="00900618"/>
    <w:rsid w:val="00970242"/>
    <w:rsid w:val="00993612"/>
    <w:rsid w:val="009B5CEF"/>
    <w:rsid w:val="009C3322"/>
    <w:rsid w:val="009F1718"/>
    <w:rsid w:val="009F2FEA"/>
    <w:rsid w:val="00A0207B"/>
    <w:rsid w:val="00A06BC8"/>
    <w:rsid w:val="00A10D2C"/>
    <w:rsid w:val="00A27A79"/>
    <w:rsid w:val="00A36CB8"/>
    <w:rsid w:val="00A46CA9"/>
    <w:rsid w:val="00A55EB1"/>
    <w:rsid w:val="00AA478C"/>
    <w:rsid w:val="00AB267C"/>
    <w:rsid w:val="00B23657"/>
    <w:rsid w:val="00B436A7"/>
    <w:rsid w:val="00B827DE"/>
    <w:rsid w:val="00BB02E7"/>
    <w:rsid w:val="00BD6192"/>
    <w:rsid w:val="00BE60A9"/>
    <w:rsid w:val="00BF4BC3"/>
    <w:rsid w:val="00C0089A"/>
    <w:rsid w:val="00C049C6"/>
    <w:rsid w:val="00C13A05"/>
    <w:rsid w:val="00C26621"/>
    <w:rsid w:val="00C66EFC"/>
    <w:rsid w:val="00C82B22"/>
    <w:rsid w:val="00C966AF"/>
    <w:rsid w:val="00CC2298"/>
    <w:rsid w:val="00CD326E"/>
    <w:rsid w:val="00D547F1"/>
    <w:rsid w:val="00D62DC2"/>
    <w:rsid w:val="00DB291C"/>
    <w:rsid w:val="00DD6C46"/>
    <w:rsid w:val="00DE5D94"/>
    <w:rsid w:val="00DF22E9"/>
    <w:rsid w:val="00E1799C"/>
    <w:rsid w:val="00E54345"/>
    <w:rsid w:val="00EF0A13"/>
    <w:rsid w:val="00F4165E"/>
    <w:rsid w:val="00FF0D07"/>
    <w:rsid w:val="038A0BD4"/>
    <w:rsid w:val="03FB3C47"/>
    <w:rsid w:val="06A2136E"/>
    <w:rsid w:val="09925D85"/>
    <w:rsid w:val="0A980C76"/>
    <w:rsid w:val="0F7B6106"/>
    <w:rsid w:val="122D1F74"/>
    <w:rsid w:val="12B200B6"/>
    <w:rsid w:val="14D740A1"/>
    <w:rsid w:val="162916BB"/>
    <w:rsid w:val="16F07E9C"/>
    <w:rsid w:val="181619D1"/>
    <w:rsid w:val="1A1A1055"/>
    <w:rsid w:val="1BBA5CD5"/>
    <w:rsid w:val="1D7B2116"/>
    <w:rsid w:val="2241224B"/>
    <w:rsid w:val="225874EF"/>
    <w:rsid w:val="29F06EEF"/>
    <w:rsid w:val="2E4B7283"/>
    <w:rsid w:val="2EF05C7F"/>
    <w:rsid w:val="2F0C2EB1"/>
    <w:rsid w:val="34D2101D"/>
    <w:rsid w:val="37792A35"/>
    <w:rsid w:val="3D21082E"/>
    <w:rsid w:val="3DB074C6"/>
    <w:rsid w:val="420239CF"/>
    <w:rsid w:val="446B3546"/>
    <w:rsid w:val="44BC5135"/>
    <w:rsid w:val="4B6A74F9"/>
    <w:rsid w:val="4CAF3028"/>
    <w:rsid w:val="521F4EC2"/>
    <w:rsid w:val="555D2492"/>
    <w:rsid w:val="56D51971"/>
    <w:rsid w:val="5BB246D2"/>
    <w:rsid w:val="5BFE7751"/>
    <w:rsid w:val="5EA05C0E"/>
    <w:rsid w:val="618B57D3"/>
    <w:rsid w:val="6294398F"/>
    <w:rsid w:val="62B64B88"/>
    <w:rsid w:val="63753EC2"/>
    <w:rsid w:val="67915B5C"/>
    <w:rsid w:val="6AB506AA"/>
    <w:rsid w:val="6DDB520C"/>
    <w:rsid w:val="7031318C"/>
    <w:rsid w:val="73F87AE5"/>
    <w:rsid w:val="753E7744"/>
    <w:rsid w:val="7E372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458</Words>
  <Characters>2615</Characters>
  <Lines>21</Lines>
  <Paragraphs>6</Paragraphs>
  <TotalTime>22</TotalTime>
  <ScaleCrop>false</ScaleCrop>
  <LinksUpToDate>false</LinksUpToDate>
  <CharactersWithSpaces>3067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2020-06-14T14:11:00Z</dcterms:created>
  <dc:creator>lizh</dc:creator>
  <cp:lastModifiedBy>于新军</cp:lastModifiedBy>
  <dcterms:modified xsi:type="dcterms:W3CDTF">2020-10-16T06:54:13Z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