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30" w:rsidRDefault="0099591B">
      <w:pPr>
        <w:rPr>
          <w:rFonts w:ascii="黑体" w:eastAsia="黑体" w:hAnsi="黑体" w:cs="方正小标宋简体"/>
          <w:sz w:val="32"/>
          <w:szCs w:val="32"/>
        </w:rPr>
      </w:pPr>
      <w:bookmarkStart w:id="0" w:name="_Hlk42628737"/>
      <w:r>
        <w:rPr>
          <w:rFonts w:ascii="黑体" w:eastAsia="黑体" w:hAnsi="黑体" w:cs="方正小标宋简体" w:hint="eastAsia"/>
          <w:sz w:val="32"/>
          <w:szCs w:val="32"/>
        </w:rPr>
        <w:t>附件</w:t>
      </w:r>
      <w:r>
        <w:rPr>
          <w:rFonts w:ascii="黑体" w:eastAsia="黑体" w:hAnsi="黑体" w:cs="方正小标宋简体"/>
          <w:sz w:val="32"/>
          <w:szCs w:val="32"/>
        </w:rPr>
        <w:t>6</w:t>
      </w:r>
      <w:r>
        <w:rPr>
          <w:rFonts w:ascii="黑体" w:eastAsia="黑体" w:hAnsi="黑体" w:cs="方正小标宋简体" w:hint="eastAsia"/>
          <w:sz w:val="32"/>
          <w:szCs w:val="32"/>
        </w:rPr>
        <w:t>：</w:t>
      </w:r>
    </w:p>
    <w:bookmarkEnd w:id="0"/>
    <w:p w:rsidR="00830B30" w:rsidRDefault="0099591B">
      <w:pPr>
        <w:jc w:val="center"/>
        <w:rPr>
          <w:rFonts w:ascii="方正小标宋简体" w:eastAsia="方正小标宋简体" w:hAnsi="Times New Roman" w:cs="方正小标宋简体"/>
          <w:b/>
          <w:bCs/>
          <w:sz w:val="44"/>
          <w:szCs w:val="44"/>
        </w:rPr>
      </w:pPr>
      <w:r>
        <w:rPr>
          <w:rFonts w:ascii="方正小标宋简体" w:eastAsia="方正小标宋简体" w:hAnsi="Times New Roman" w:cs="方正小标宋简体" w:hint="eastAsia"/>
          <w:b/>
          <w:bCs/>
          <w:sz w:val="44"/>
          <w:szCs w:val="44"/>
        </w:rPr>
        <w:t>深圳市危险化学品企业安全生产标准化三级达标审查重点清单（试行）</w:t>
      </w:r>
    </w:p>
    <w:p w:rsidR="00830B30" w:rsidRDefault="0099591B">
      <w:pPr>
        <w:jc w:val="center"/>
        <w:rPr>
          <w:rFonts w:ascii="方正小标宋简体" w:eastAsia="方正小标宋简体" w:hAnsi="Times New Roman" w:cs="方正小标宋简体"/>
          <w:b/>
          <w:bCs/>
          <w:sz w:val="44"/>
          <w:szCs w:val="44"/>
        </w:rPr>
      </w:pPr>
      <w:r>
        <w:rPr>
          <w:rFonts w:ascii="方正小标宋简体" w:eastAsia="方正小标宋简体" w:hAnsi="Times New Roman" w:cs="方正小标宋简体" w:hint="eastAsia"/>
          <w:b/>
          <w:bCs/>
          <w:sz w:val="44"/>
          <w:szCs w:val="44"/>
        </w:rPr>
        <w:t>（油漆、油墨、粘合剂类危险化学品带储存设施经营企业）</w:t>
      </w:r>
    </w:p>
    <w:p w:rsidR="00830B30" w:rsidRDefault="0099591B">
      <w:pPr>
        <w:spacing w:line="560" w:lineRule="exact"/>
        <w:jc w:val="center"/>
        <w:rPr>
          <w:rFonts w:ascii="黑体" w:eastAsia="黑体" w:hAnsi="黑体"/>
          <w:b/>
          <w:bCs/>
          <w:sz w:val="32"/>
          <w:szCs w:val="32"/>
        </w:rPr>
      </w:pPr>
      <w:r>
        <w:rPr>
          <w:rFonts w:ascii="黑体" w:eastAsia="黑体" w:hAnsi="黑体" w:hint="eastAsia"/>
          <w:b/>
          <w:bCs/>
          <w:sz w:val="32"/>
          <w:szCs w:val="32"/>
        </w:rPr>
        <w:t>审</w:t>
      </w:r>
      <w:r>
        <w:rPr>
          <w:rFonts w:ascii="黑体" w:eastAsia="黑体" w:hAnsi="黑体" w:hint="eastAsia"/>
          <w:b/>
          <w:bCs/>
          <w:sz w:val="32"/>
          <w:szCs w:val="32"/>
        </w:rPr>
        <w:t xml:space="preserve"> </w:t>
      </w:r>
      <w:r>
        <w:rPr>
          <w:rFonts w:ascii="黑体" w:eastAsia="黑体" w:hAnsi="黑体" w:hint="eastAsia"/>
          <w:b/>
          <w:bCs/>
          <w:sz w:val="32"/>
          <w:szCs w:val="32"/>
        </w:rPr>
        <w:t>查</w:t>
      </w:r>
      <w:r>
        <w:rPr>
          <w:rFonts w:ascii="黑体" w:eastAsia="黑体" w:hAnsi="黑体" w:hint="eastAsia"/>
          <w:b/>
          <w:bCs/>
          <w:sz w:val="32"/>
          <w:szCs w:val="32"/>
        </w:rPr>
        <w:t xml:space="preserve"> </w:t>
      </w:r>
      <w:r>
        <w:rPr>
          <w:rFonts w:ascii="黑体" w:eastAsia="黑体" w:hAnsi="黑体" w:hint="eastAsia"/>
          <w:b/>
          <w:bCs/>
          <w:sz w:val="32"/>
          <w:szCs w:val="32"/>
        </w:rPr>
        <w:t>说</w:t>
      </w:r>
      <w:r>
        <w:rPr>
          <w:rFonts w:ascii="黑体" w:eastAsia="黑体" w:hAnsi="黑体" w:hint="eastAsia"/>
          <w:b/>
          <w:bCs/>
          <w:sz w:val="32"/>
          <w:szCs w:val="32"/>
        </w:rPr>
        <w:t xml:space="preserve"> </w:t>
      </w:r>
      <w:r>
        <w:rPr>
          <w:rFonts w:ascii="黑体" w:eastAsia="黑体" w:hAnsi="黑体" w:hint="eastAsia"/>
          <w:b/>
          <w:bCs/>
          <w:sz w:val="32"/>
          <w:szCs w:val="32"/>
        </w:rPr>
        <w:t>明</w:t>
      </w:r>
    </w:p>
    <w:p w:rsidR="00830B30" w:rsidRDefault="0099591B">
      <w:pPr>
        <w:pStyle w:val="a7"/>
        <w:numPr>
          <w:ilvl w:val="0"/>
          <w:numId w:val="1"/>
        </w:numPr>
        <w:tabs>
          <w:tab w:val="left" w:pos="851"/>
        </w:tabs>
        <w:spacing w:line="400" w:lineRule="exact"/>
        <w:ind w:left="839" w:firstLineChars="0" w:hanging="357"/>
        <w:rPr>
          <w:rFonts w:ascii="仿宋_GB2312" w:eastAsia="仿宋_GB2312"/>
          <w:sz w:val="24"/>
        </w:rPr>
      </w:pPr>
      <w:r>
        <w:rPr>
          <w:rFonts w:ascii="仿宋_GB2312" w:eastAsia="仿宋_GB2312" w:hint="eastAsia"/>
          <w:sz w:val="24"/>
        </w:rPr>
        <w:t>本重点清单依据《危险化学品从业单位安全生产标准化评审标准》《油漆、油墨、粘合剂类危险化学品经营带储存企业现场安全重点检查指引》</w:t>
      </w:r>
      <w:r>
        <w:rPr>
          <w:rFonts w:ascii="仿宋_GB2312" w:eastAsia="仿宋_GB2312" w:hint="eastAsia"/>
          <w:sz w:val="24"/>
        </w:rPr>
        <w:t>等</w:t>
      </w:r>
      <w:r>
        <w:rPr>
          <w:rFonts w:ascii="仿宋_GB2312" w:eastAsia="仿宋_GB2312" w:hint="eastAsia"/>
          <w:sz w:val="24"/>
        </w:rPr>
        <w:t>编制，适用于深圳市油漆、油墨、粘合剂类危险化学品带储存设施经营企业</w:t>
      </w:r>
      <w:r>
        <w:rPr>
          <w:rFonts w:ascii="仿宋_GB2312" w:eastAsia="仿宋_GB2312" w:hint="eastAsia"/>
          <w:sz w:val="24"/>
        </w:rPr>
        <w:t>以及</w:t>
      </w:r>
      <w:r>
        <w:rPr>
          <w:rFonts w:ascii="仿宋_GB2312" w:eastAsia="仿宋_GB2312" w:hint="eastAsia"/>
          <w:sz w:val="24"/>
        </w:rPr>
        <w:t>毒害品、腐蚀品、易燃固体、氧化剂类等危险化学品带储存设施经营企业安全生产标准化三级达标审查工作，</w:t>
      </w:r>
      <w:r>
        <w:rPr>
          <w:rFonts w:ascii="仿宋_GB2312" w:eastAsia="仿宋_GB2312" w:hint="eastAsia"/>
          <w:sz w:val="24"/>
        </w:rPr>
        <w:t>引导</w:t>
      </w:r>
      <w:r>
        <w:rPr>
          <w:rFonts w:ascii="仿宋_GB2312" w:eastAsia="仿宋_GB2312" w:hint="eastAsia"/>
          <w:sz w:val="24"/>
        </w:rPr>
        <w:t>企业重点管控现场安全风险，持续改进、自我提升</w:t>
      </w:r>
      <w:r>
        <w:rPr>
          <w:rFonts w:ascii="仿宋_GB2312" w:eastAsia="仿宋_GB2312" w:hint="eastAsia"/>
          <w:sz w:val="24"/>
        </w:rPr>
        <w:t>安全管理水平</w:t>
      </w:r>
      <w:r>
        <w:rPr>
          <w:rFonts w:ascii="仿宋_GB2312" w:eastAsia="仿宋_GB2312" w:hint="eastAsia"/>
          <w:sz w:val="24"/>
        </w:rPr>
        <w:t>。</w:t>
      </w:r>
    </w:p>
    <w:p w:rsidR="00830B30" w:rsidRDefault="0099591B">
      <w:pPr>
        <w:pStyle w:val="a7"/>
        <w:numPr>
          <w:ilvl w:val="0"/>
          <w:numId w:val="1"/>
        </w:numPr>
        <w:tabs>
          <w:tab w:val="left" w:pos="851"/>
        </w:tabs>
        <w:spacing w:line="400" w:lineRule="exact"/>
        <w:ind w:left="839" w:firstLineChars="0" w:hanging="357"/>
        <w:jc w:val="left"/>
        <w:rPr>
          <w:rFonts w:ascii="仿宋_GB2312" w:eastAsia="仿宋_GB2312"/>
          <w:sz w:val="24"/>
        </w:rPr>
      </w:pPr>
      <w:r>
        <w:rPr>
          <w:rFonts w:ascii="仿宋_GB2312" w:eastAsia="仿宋_GB2312" w:hint="eastAsia"/>
          <w:sz w:val="24"/>
        </w:rPr>
        <w:t>本重点清单</w:t>
      </w:r>
      <w:bookmarkStart w:id="1" w:name="_Hlk42628729"/>
      <w:r>
        <w:rPr>
          <w:rFonts w:ascii="仿宋_GB2312" w:eastAsia="仿宋_GB2312" w:hint="eastAsia"/>
          <w:sz w:val="24"/>
        </w:rPr>
        <w:t>本重点清单所列审查事项均为否决项；现场审查时，安全生产标准化三级达标企业应符合全部审查事项对应的审查内容，其中被审查企业不涉及的审查内容列为缺项，不纳入审查。</w:t>
      </w:r>
      <w:bookmarkEnd w:id="1"/>
    </w:p>
    <w:tbl>
      <w:tblPr>
        <w:tblStyle w:val="a6"/>
        <w:tblW w:w="14174" w:type="dxa"/>
        <w:tblLayout w:type="fixed"/>
        <w:tblLook w:val="04A0"/>
      </w:tblPr>
      <w:tblGrid>
        <w:gridCol w:w="705"/>
        <w:gridCol w:w="963"/>
        <w:gridCol w:w="1134"/>
        <w:gridCol w:w="8160"/>
        <w:gridCol w:w="1762"/>
        <w:gridCol w:w="1450"/>
      </w:tblGrid>
      <w:tr w:rsidR="00830B30">
        <w:trPr>
          <w:trHeight w:val="20"/>
          <w:tblHeader/>
        </w:trPr>
        <w:tc>
          <w:tcPr>
            <w:tcW w:w="705" w:type="dxa"/>
            <w:vAlign w:val="center"/>
          </w:tcPr>
          <w:p w:rsidR="00830B30" w:rsidRDefault="0099591B">
            <w:pPr>
              <w:spacing w:line="320" w:lineRule="exact"/>
              <w:jc w:val="center"/>
              <w:rPr>
                <w:rFonts w:ascii="仿宋" w:eastAsia="仿宋" w:hAnsi="仿宋" w:cs="仿宋"/>
                <w:b/>
                <w:bCs/>
                <w:sz w:val="24"/>
              </w:rPr>
            </w:pPr>
            <w:r>
              <w:rPr>
                <w:rFonts w:ascii="仿宋" w:eastAsia="仿宋" w:hAnsi="仿宋" w:cs="仿宋" w:hint="eastAsia"/>
                <w:b/>
                <w:bCs/>
                <w:sz w:val="24"/>
              </w:rPr>
              <w:t>序号</w:t>
            </w:r>
          </w:p>
        </w:tc>
        <w:tc>
          <w:tcPr>
            <w:tcW w:w="2097" w:type="dxa"/>
            <w:gridSpan w:val="2"/>
            <w:vAlign w:val="center"/>
          </w:tcPr>
          <w:p w:rsidR="00830B30" w:rsidRDefault="0099591B">
            <w:pPr>
              <w:spacing w:line="320" w:lineRule="exact"/>
              <w:jc w:val="center"/>
              <w:rPr>
                <w:rFonts w:ascii="仿宋" w:eastAsia="仿宋" w:hAnsi="仿宋" w:cs="仿宋"/>
                <w:b/>
                <w:bCs/>
                <w:sz w:val="24"/>
              </w:rPr>
            </w:pPr>
            <w:r>
              <w:rPr>
                <w:rFonts w:ascii="仿宋" w:eastAsia="仿宋" w:hAnsi="仿宋" w:cs="仿宋" w:hint="eastAsia"/>
                <w:b/>
                <w:bCs/>
                <w:sz w:val="24"/>
              </w:rPr>
              <w:t>审查事项</w:t>
            </w:r>
          </w:p>
        </w:tc>
        <w:tc>
          <w:tcPr>
            <w:tcW w:w="8160" w:type="dxa"/>
            <w:vAlign w:val="center"/>
          </w:tcPr>
          <w:p w:rsidR="00830B30" w:rsidRDefault="0099591B">
            <w:pPr>
              <w:spacing w:line="320" w:lineRule="exact"/>
              <w:jc w:val="center"/>
              <w:rPr>
                <w:rFonts w:ascii="仿宋" w:eastAsia="仿宋" w:hAnsi="仿宋" w:cs="仿宋"/>
                <w:b/>
                <w:bCs/>
                <w:sz w:val="24"/>
              </w:rPr>
            </w:pPr>
            <w:r>
              <w:rPr>
                <w:rFonts w:ascii="仿宋" w:eastAsia="仿宋" w:hAnsi="仿宋" w:cs="仿宋" w:hint="eastAsia"/>
                <w:b/>
                <w:bCs/>
                <w:sz w:val="24"/>
              </w:rPr>
              <w:t>审查内容</w:t>
            </w:r>
          </w:p>
        </w:tc>
        <w:tc>
          <w:tcPr>
            <w:tcW w:w="1762" w:type="dxa"/>
            <w:vAlign w:val="center"/>
          </w:tcPr>
          <w:p w:rsidR="00830B30" w:rsidRDefault="0099591B">
            <w:pPr>
              <w:spacing w:line="320" w:lineRule="exact"/>
              <w:jc w:val="center"/>
              <w:rPr>
                <w:rFonts w:ascii="仿宋" w:eastAsia="仿宋" w:hAnsi="仿宋" w:cs="仿宋"/>
                <w:b/>
                <w:bCs/>
                <w:sz w:val="24"/>
              </w:rPr>
            </w:pPr>
            <w:r>
              <w:rPr>
                <w:rFonts w:ascii="仿宋" w:eastAsia="仿宋" w:hAnsi="仿宋" w:cs="仿宋" w:hint="eastAsia"/>
                <w:b/>
                <w:bCs/>
                <w:sz w:val="24"/>
              </w:rPr>
              <w:t>是否符合</w:t>
            </w:r>
          </w:p>
        </w:tc>
        <w:tc>
          <w:tcPr>
            <w:tcW w:w="1450" w:type="dxa"/>
          </w:tcPr>
          <w:p w:rsidR="00830B30" w:rsidRDefault="0099591B">
            <w:pPr>
              <w:spacing w:line="320" w:lineRule="exact"/>
              <w:jc w:val="center"/>
              <w:rPr>
                <w:rFonts w:ascii="仿宋" w:eastAsia="仿宋" w:hAnsi="仿宋" w:cs="仿宋"/>
                <w:b/>
                <w:bCs/>
                <w:sz w:val="24"/>
              </w:rPr>
            </w:pPr>
            <w:r>
              <w:rPr>
                <w:rFonts w:ascii="仿宋" w:eastAsia="仿宋" w:hAnsi="仿宋" w:cs="仿宋" w:hint="eastAsia"/>
                <w:b/>
                <w:bCs/>
                <w:sz w:val="24"/>
              </w:rPr>
              <w:t>备注</w:t>
            </w:r>
          </w:p>
        </w:tc>
      </w:tr>
      <w:tr w:rsidR="00830B30">
        <w:trPr>
          <w:trHeight w:val="20"/>
        </w:trPr>
        <w:tc>
          <w:tcPr>
            <w:tcW w:w="705"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1</w:t>
            </w:r>
          </w:p>
        </w:tc>
        <w:tc>
          <w:tcPr>
            <w:tcW w:w="2097" w:type="dxa"/>
            <w:gridSpan w:val="2"/>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风险辨识和分级管控</w:t>
            </w:r>
          </w:p>
        </w:tc>
        <w:tc>
          <w:tcPr>
            <w:tcW w:w="8160" w:type="dxa"/>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）企业应建立风险辨识和分级管控制度，明确组织机构、职责分工、工作程序、辨识方法、辨识频次、风险分级、风险评价、分级管控措施等要求；</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）企业应严格执行制度要求，设置岗位安全风险告知卡，至少每半年更新安全风险清单，每班交接班记录说明安全隐患情</w:t>
            </w:r>
            <w:bookmarkStart w:id="2" w:name="_GoBack"/>
            <w:bookmarkEnd w:id="2"/>
            <w:r>
              <w:rPr>
                <w:rFonts w:ascii="仿宋" w:eastAsia="仿宋" w:hAnsi="仿宋" w:cs="仿宋" w:hint="eastAsia"/>
                <w:kern w:val="0"/>
                <w:sz w:val="24"/>
              </w:rPr>
              <w:t>况</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rPr>
                <w:rFonts w:ascii="仿宋" w:eastAsia="仿宋" w:hAnsi="仿宋" w:cs="仿宋"/>
                <w:sz w:val="24"/>
              </w:rPr>
            </w:pPr>
          </w:p>
        </w:tc>
      </w:tr>
      <w:tr w:rsidR="00830B30">
        <w:trPr>
          <w:trHeight w:val="20"/>
        </w:trPr>
        <w:tc>
          <w:tcPr>
            <w:tcW w:w="705"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2</w:t>
            </w:r>
          </w:p>
        </w:tc>
        <w:tc>
          <w:tcPr>
            <w:tcW w:w="2097" w:type="dxa"/>
            <w:gridSpan w:val="2"/>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安全生产教育和培训</w:t>
            </w:r>
          </w:p>
        </w:tc>
        <w:tc>
          <w:tcPr>
            <w:tcW w:w="8160" w:type="dxa"/>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）应对新员工进行三级安全培训教育，并经考核合格后方可上岗；</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）从业人员每年应接受再培训，再培训时间不得少于</w:t>
            </w:r>
            <w:r>
              <w:rPr>
                <w:rFonts w:ascii="仿宋" w:eastAsia="仿宋" w:hAnsi="仿宋" w:cs="仿宋" w:hint="eastAsia"/>
                <w:kern w:val="0"/>
                <w:sz w:val="24"/>
              </w:rPr>
              <w:t>20</w:t>
            </w:r>
            <w:r>
              <w:rPr>
                <w:rFonts w:ascii="仿宋" w:eastAsia="仿宋" w:hAnsi="仿宋" w:cs="仿宋" w:hint="eastAsia"/>
                <w:kern w:val="0"/>
                <w:sz w:val="24"/>
              </w:rPr>
              <w:t>学时；</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）检维修前应对检维修人员进行作业前交底、安全培训教育</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rPr>
                <w:rFonts w:ascii="仿宋" w:eastAsia="仿宋" w:hAnsi="仿宋" w:cs="仿宋"/>
                <w:sz w:val="24"/>
              </w:rPr>
            </w:pPr>
          </w:p>
        </w:tc>
      </w:tr>
      <w:tr w:rsidR="00830B30">
        <w:trPr>
          <w:trHeight w:val="20"/>
        </w:trPr>
        <w:tc>
          <w:tcPr>
            <w:tcW w:w="705"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lastRenderedPageBreak/>
              <w:t>3</w:t>
            </w:r>
          </w:p>
        </w:tc>
        <w:tc>
          <w:tcPr>
            <w:tcW w:w="963"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生产设备设施</w:t>
            </w: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3.1</w:t>
            </w:r>
            <w:r>
              <w:rPr>
                <w:rFonts w:ascii="仿宋" w:eastAsia="仿宋" w:hAnsi="仿宋" w:cs="仿宋" w:hint="eastAsia"/>
                <w:kern w:val="0"/>
                <w:sz w:val="24"/>
              </w:rPr>
              <w:t>仓储区</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仓库（储罐区）爆炸危险环境内风机、接线盒、开关盒、泵外壳等均应接地；</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储罐区易燃液体金属管道间净距离小于</w:t>
            </w:r>
            <w:r>
              <w:rPr>
                <w:rFonts w:ascii="仿宋" w:eastAsia="仿宋" w:hAnsi="仿宋" w:cs="仿宋" w:hint="eastAsia"/>
                <w:kern w:val="0"/>
                <w:sz w:val="24"/>
              </w:rPr>
              <w:t>100mm</w:t>
            </w:r>
            <w:r>
              <w:rPr>
                <w:rFonts w:ascii="仿宋" w:eastAsia="仿宋" w:hAnsi="仿宋" w:cs="仿宋" w:hint="eastAsia"/>
                <w:kern w:val="0"/>
                <w:sz w:val="24"/>
              </w:rPr>
              <w:t>时，应每隔</w:t>
            </w:r>
            <w:r>
              <w:rPr>
                <w:rFonts w:ascii="仿宋" w:eastAsia="仿宋" w:hAnsi="仿宋" w:cs="仿宋" w:hint="eastAsia"/>
                <w:kern w:val="0"/>
                <w:sz w:val="24"/>
              </w:rPr>
              <w:t>20m</w:t>
            </w:r>
            <w:r>
              <w:rPr>
                <w:rFonts w:ascii="仿宋" w:eastAsia="仿宋" w:hAnsi="仿宋" w:cs="仿宋" w:hint="eastAsia"/>
                <w:kern w:val="0"/>
                <w:sz w:val="24"/>
              </w:rPr>
              <w:t>用金属线跨接；</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仓库（储罐区）爆炸危险环境内所有配电线路应使用镀锌钢管配线，钢管与钢管、钢管与电气设备、钢管与钢管附件之间应采用螺纹连接，应连接紧实无松动；在电机进线口处、钢管与电气设备直接连接有困难处，应使用防爆挠性连接管连接，防爆挠性连接管应连接紧实无松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仓库（储罐区）产生可燃气体或有毒气体的区域应设置气体浓度报警装置；</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仓库（储罐区）爆炸危险区域入口处均应设置人体静电消除装置，金属管做成的扶手可作为人体静电消除装置使用；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仓库内易燃类商品摆放，垛高不超过</w:t>
            </w:r>
            <w:r>
              <w:rPr>
                <w:rFonts w:ascii="仿宋" w:eastAsia="仿宋" w:hAnsi="仿宋" w:cs="仿宋" w:hint="eastAsia"/>
                <w:kern w:val="0"/>
                <w:sz w:val="24"/>
              </w:rPr>
              <w:t>3m</w:t>
            </w:r>
            <w:r>
              <w:rPr>
                <w:rFonts w:ascii="仿宋" w:eastAsia="仿宋" w:hAnsi="仿宋" w:cs="仿宋" w:hint="eastAsia"/>
                <w:kern w:val="0"/>
                <w:sz w:val="24"/>
              </w:rPr>
              <w:t>，主通道大于等于</w:t>
            </w:r>
            <w:r>
              <w:rPr>
                <w:rFonts w:ascii="仿宋" w:eastAsia="仿宋" w:hAnsi="仿宋" w:cs="仿宋" w:hint="eastAsia"/>
                <w:kern w:val="0"/>
                <w:sz w:val="24"/>
              </w:rPr>
              <w:t>180cm</w:t>
            </w:r>
            <w:r>
              <w:rPr>
                <w:rFonts w:ascii="仿宋" w:eastAsia="仿宋" w:hAnsi="仿宋" w:cs="仿宋" w:hint="eastAsia"/>
                <w:kern w:val="0"/>
                <w:sz w:val="24"/>
              </w:rPr>
              <w:t>，支通道大于等于</w:t>
            </w:r>
            <w:r>
              <w:rPr>
                <w:rFonts w:ascii="仿宋" w:eastAsia="仿宋" w:hAnsi="仿宋" w:cs="仿宋" w:hint="eastAsia"/>
                <w:kern w:val="0"/>
                <w:sz w:val="24"/>
              </w:rPr>
              <w:t>80cm</w:t>
            </w:r>
            <w:r>
              <w:rPr>
                <w:rFonts w:ascii="仿宋" w:eastAsia="仿宋" w:hAnsi="仿宋" w:cs="仿宋" w:hint="eastAsia"/>
                <w:kern w:val="0"/>
                <w:sz w:val="24"/>
              </w:rPr>
              <w:t>并符合“五距”要求，柱距大于等于</w:t>
            </w:r>
            <w:r>
              <w:rPr>
                <w:rFonts w:ascii="仿宋" w:eastAsia="仿宋" w:hAnsi="仿宋" w:cs="仿宋" w:hint="eastAsia"/>
                <w:kern w:val="0"/>
                <w:sz w:val="24"/>
              </w:rPr>
              <w:t>10cm</w:t>
            </w:r>
            <w:r>
              <w:rPr>
                <w:rFonts w:ascii="仿宋" w:eastAsia="仿宋" w:hAnsi="仿宋" w:cs="仿宋" w:hint="eastAsia"/>
                <w:kern w:val="0"/>
                <w:sz w:val="24"/>
              </w:rPr>
              <w:t>；垛距大于等于</w:t>
            </w:r>
            <w:r>
              <w:rPr>
                <w:rFonts w:ascii="仿宋" w:eastAsia="仿宋" w:hAnsi="仿宋" w:cs="仿宋" w:hint="eastAsia"/>
                <w:kern w:val="0"/>
                <w:sz w:val="24"/>
              </w:rPr>
              <w:t>10cm</w:t>
            </w:r>
            <w:r>
              <w:rPr>
                <w:rFonts w:ascii="仿宋" w:eastAsia="仿宋" w:hAnsi="仿宋" w:cs="仿宋" w:hint="eastAsia"/>
                <w:kern w:val="0"/>
                <w:sz w:val="24"/>
              </w:rPr>
              <w:t>；顶距大于等于</w:t>
            </w:r>
            <w:r>
              <w:rPr>
                <w:rFonts w:ascii="仿宋" w:eastAsia="仿宋" w:hAnsi="仿宋" w:cs="仿宋" w:hint="eastAsia"/>
                <w:kern w:val="0"/>
                <w:sz w:val="24"/>
              </w:rPr>
              <w:t>50cm</w:t>
            </w:r>
            <w:r>
              <w:rPr>
                <w:rFonts w:ascii="仿宋" w:eastAsia="仿宋" w:hAnsi="仿宋" w:cs="仿宋" w:hint="eastAsia"/>
                <w:kern w:val="0"/>
                <w:sz w:val="24"/>
              </w:rPr>
              <w:t>；墙距大于等于</w:t>
            </w:r>
            <w:r>
              <w:rPr>
                <w:rFonts w:ascii="仿宋" w:eastAsia="仿宋" w:hAnsi="仿宋" w:cs="仿宋" w:hint="eastAsia"/>
                <w:kern w:val="0"/>
                <w:sz w:val="24"/>
              </w:rPr>
              <w:t>30cm</w:t>
            </w:r>
            <w:r>
              <w:rPr>
                <w:rFonts w:ascii="仿宋" w:eastAsia="仿宋" w:hAnsi="仿宋" w:cs="仿宋" w:hint="eastAsia"/>
                <w:kern w:val="0"/>
                <w:sz w:val="24"/>
              </w:rPr>
              <w:t>；灯具大于等于</w:t>
            </w:r>
            <w:r>
              <w:rPr>
                <w:rFonts w:ascii="仿宋" w:eastAsia="仿宋" w:hAnsi="仿宋" w:cs="仿宋" w:hint="eastAsia"/>
                <w:kern w:val="0"/>
                <w:sz w:val="24"/>
              </w:rPr>
              <w:t>50cm</w:t>
            </w:r>
            <w:r>
              <w:rPr>
                <w:rFonts w:ascii="仿宋" w:eastAsia="仿宋" w:hAnsi="仿宋" w:cs="仿宋" w:hint="eastAsia"/>
                <w:kern w:val="0"/>
                <w:sz w:val="24"/>
              </w:rPr>
              <w:t>；</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w:t>
            </w:r>
            <w:r>
              <w:rPr>
                <w:rFonts w:ascii="仿宋" w:eastAsia="仿宋" w:hAnsi="仿宋" w:cs="仿宋" w:hint="eastAsia"/>
                <w:kern w:val="0"/>
                <w:sz w:val="24"/>
              </w:rPr>
              <w:t>易燃液体、腐蚀性液体仓库应设置防止液体流散的设施，防止液体流散的设施可为漫坡</w:t>
            </w:r>
            <w:r w:rsidR="00CC0CC1">
              <w:rPr>
                <w:rFonts w:ascii="仿宋" w:eastAsia="仿宋" w:hAnsi="仿宋" w:cs="仿宋" w:hint="eastAsia"/>
                <w:kern w:val="0"/>
                <w:sz w:val="24"/>
              </w:rPr>
              <w:t>（高度为150-300mm）</w:t>
            </w:r>
            <w:r>
              <w:rPr>
                <w:rFonts w:ascii="仿宋" w:eastAsia="仿宋" w:hAnsi="仿宋" w:cs="仿宋" w:hint="eastAsia"/>
                <w:kern w:val="0"/>
                <w:sz w:val="24"/>
              </w:rPr>
              <w:t>、托盘、围堰等；</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8</w:t>
            </w:r>
            <w:r>
              <w:rPr>
                <w:rFonts w:ascii="仿宋" w:eastAsia="仿宋" w:hAnsi="仿宋" w:cs="仿宋" w:hint="eastAsia"/>
                <w:kern w:val="0"/>
                <w:sz w:val="24"/>
              </w:rPr>
              <w:t>）</w:t>
            </w:r>
            <w:r>
              <w:rPr>
                <w:rFonts w:ascii="仿宋" w:eastAsia="仿宋" w:hAnsi="仿宋" w:cs="仿宋" w:hint="eastAsia"/>
                <w:kern w:val="0"/>
                <w:sz w:val="24"/>
              </w:rPr>
              <w:t>危险化学品仓库内禁忌类物料不得混放，并严禁分装、改装、开箱、开桶、验收等；</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9</w:t>
            </w:r>
            <w:r>
              <w:rPr>
                <w:rFonts w:ascii="仿宋" w:eastAsia="仿宋" w:hAnsi="仿宋" w:cs="仿宋" w:hint="eastAsia"/>
                <w:kern w:val="0"/>
                <w:sz w:val="24"/>
              </w:rPr>
              <w:t>）</w:t>
            </w:r>
            <w:r>
              <w:rPr>
                <w:rFonts w:ascii="仿宋" w:eastAsia="仿宋" w:hAnsi="仿宋" w:cs="仿宋" w:hint="eastAsia"/>
                <w:kern w:val="0"/>
                <w:sz w:val="24"/>
              </w:rPr>
              <w:t>货架、货物及工具不应遮挡消火栓、自动喷淋系统、排风口，应保证消防通道畅通；</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w:t>
            </w:r>
            <w:r>
              <w:rPr>
                <w:rFonts w:ascii="仿宋" w:eastAsia="仿宋" w:hAnsi="仿宋" w:cs="仿宋" w:hint="eastAsia"/>
                <w:kern w:val="0"/>
                <w:sz w:val="24"/>
              </w:rPr>
              <w:t>腐蚀类危险化学品仓库（储罐区）墙体、地面应进行防腐蚀、防渗漏处理，照明灯具、通风设备、电气线路、生产设备等应无破损及明显锈蚀；</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11</w:t>
            </w:r>
            <w:r>
              <w:rPr>
                <w:rFonts w:ascii="仿宋" w:eastAsia="仿宋" w:hAnsi="仿宋" w:cs="仿宋" w:hint="eastAsia"/>
                <w:kern w:val="0"/>
                <w:sz w:val="24"/>
              </w:rPr>
              <w:t>）</w:t>
            </w:r>
            <w:r>
              <w:rPr>
                <w:rFonts w:ascii="仿宋" w:eastAsia="仿宋" w:hAnsi="仿宋" w:cs="仿宋" w:hint="eastAsia"/>
                <w:kern w:val="0"/>
                <w:sz w:val="24"/>
              </w:rPr>
              <w:t>剧毒类危险化学品仓库应设置防潮、防盗、通风、温湿度监测设施和入侵报警系统，在固定方便的地方配备与剧毒品性质适应的消防器材、报警</w:t>
            </w:r>
            <w:r>
              <w:rPr>
                <w:rFonts w:ascii="仿宋" w:eastAsia="仿宋" w:hAnsi="仿宋" w:cs="仿宋" w:hint="eastAsia"/>
                <w:kern w:val="0"/>
                <w:sz w:val="24"/>
              </w:rPr>
              <w:lastRenderedPageBreak/>
              <w:t>装置和急救药箱；</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12</w:t>
            </w:r>
            <w:r>
              <w:rPr>
                <w:rFonts w:ascii="仿宋" w:eastAsia="仿宋" w:hAnsi="仿宋" w:cs="仿宋" w:hint="eastAsia"/>
                <w:kern w:val="0"/>
                <w:sz w:val="24"/>
              </w:rPr>
              <w:t>）</w:t>
            </w:r>
            <w:r>
              <w:rPr>
                <w:rFonts w:ascii="仿宋" w:eastAsia="仿宋" w:hAnsi="仿宋" w:cs="仿宋" w:hint="eastAsia"/>
                <w:kern w:val="0"/>
                <w:sz w:val="24"/>
              </w:rPr>
              <w:t>氧化剂、有机过氧化物应独立存放，特别是与易燃、可燃物，还原</w:t>
            </w:r>
            <w:r>
              <w:rPr>
                <w:rFonts w:ascii="仿宋" w:eastAsia="仿宋" w:hAnsi="仿宋" w:cs="仿宋" w:hint="eastAsia"/>
                <w:kern w:val="0"/>
                <w:sz w:val="24"/>
              </w:rPr>
              <w:t>剂、酸类、金属粉末等必须分开存放，储存过程不得拆开原包装；库房应严格控制温、湿度，远离火种、热源，仓库温度不宜超过</w:t>
            </w:r>
            <w:r>
              <w:rPr>
                <w:rFonts w:ascii="仿宋" w:eastAsia="仿宋" w:hAnsi="仿宋" w:cs="仿宋" w:hint="eastAsia"/>
                <w:kern w:val="0"/>
                <w:sz w:val="24"/>
              </w:rPr>
              <w:t>30</w:t>
            </w:r>
            <w:r>
              <w:rPr>
                <w:rFonts w:ascii="仿宋" w:eastAsia="仿宋" w:hAnsi="仿宋" w:cs="仿宋" w:hint="eastAsia"/>
                <w:kern w:val="0"/>
                <w:sz w:val="24"/>
              </w:rPr>
              <w:t>℃，防止受热、受潮、阳光直射，避免放热分解；</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13</w:t>
            </w:r>
            <w:r>
              <w:rPr>
                <w:rFonts w:ascii="仿宋" w:eastAsia="仿宋" w:hAnsi="仿宋" w:cs="仿宋" w:hint="eastAsia"/>
                <w:kern w:val="0"/>
                <w:sz w:val="24"/>
              </w:rPr>
              <w:t>）</w:t>
            </w:r>
            <w:r>
              <w:rPr>
                <w:rFonts w:ascii="仿宋" w:eastAsia="仿宋" w:hAnsi="仿宋" w:cs="仿宋" w:hint="eastAsia"/>
                <w:kern w:val="0"/>
                <w:sz w:val="24"/>
              </w:rPr>
              <w:t>易燃固体、自燃物品、遇湿易燃物品应专库储存，储存场所阴凉、通风、干燥，远离火种、热源，防止阳光直射，采取温、湿度控制及防止水浸渍等安全措施</w:t>
            </w:r>
          </w:p>
        </w:tc>
        <w:tc>
          <w:tcPr>
            <w:tcW w:w="1762" w:type="dxa"/>
            <w:vMerge w:val="restart"/>
          </w:tcPr>
          <w:p w:rsidR="00830B30" w:rsidRDefault="00830B30">
            <w:pPr>
              <w:tabs>
                <w:tab w:val="left" w:pos="420"/>
              </w:tabs>
              <w:rPr>
                <w:rFonts w:ascii="仿宋" w:eastAsia="仿宋" w:hAnsi="仿宋" w:cs="仿宋"/>
                <w:kern w:val="0"/>
                <w:sz w:val="24"/>
              </w:rPr>
            </w:pPr>
          </w:p>
        </w:tc>
        <w:tc>
          <w:tcPr>
            <w:tcW w:w="1450" w:type="dxa"/>
            <w:vMerge w:val="restart"/>
          </w:tcPr>
          <w:p w:rsidR="00830B30" w:rsidRDefault="00830B30">
            <w:pPr>
              <w:rPr>
                <w:rFonts w:ascii="仿宋" w:eastAsia="仿宋" w:hAnsi="仿宋" w:cs="仿宋"/>
                <w:sz w:val="24"/>
              </w:rPr>
            </w:pPr>
          </w:p>
        </w:tc>
      </w:tr>
      <w:tr w:rsidR="00830B30">
        <w:trPr>
          <w:trHeight w:val="20"/>
        </w:trPr>
        <w:tc>
          <w:tcPr>
            <w:tcW w:w="705" w:type="dxa"/>
            <w:vMerge/>
            <w:vAlign w:val="center"/>
          </w:tcPr>
          <w:p w:rsidR="00830B30" w:rsidRDefault="00830B30">
            <w:pPr>
              <w:tabs>
                <w:tab w:val="left" w:pos="420"/>
              </w:tabs>
              <w:rPr>
                <w:rFonts w:ascii="仿宋" w:eastAsia="仿宋" w:hAnsi="仿宋" w:cs="仿宋"/>
                <w:kern w:val="0"/>
                <w:sz w:val="24"/>
              </w:rPr>
            </w:pPr>
          </w:p>
        </w:tc>
        <w:tc>
          <w:tcPr>
            <w:tcW w:w="963" w:type="dxa"/>
            <w:vMerge/>
            <w:vAlign w:val="center"/>
          </w:tcPr>
          <w:p w:rsidR="00830B30" w:rsidRDefault="00830B30">
            <w:pPr>
              <w:tabs>
                <w:tab w:val="left" w:pos="420"/>
              </w:tabs>
              <w:rPr>
                <w:rFonts w:ascii="仿宋" w:eastAsia="仿宋" w:hAnsi="仿宋" w:cs="仿宋"/>
                <w:kern w:val="0"/>
                <w:sz w:val="24"/>
              </w:rPr>
            </w:pP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3.2</w:t>
            </w:r>
            <w:r>
              <w:rPr>
                <w:rFonts w:ascii="仿宋" w:eastAsia="仿宋" w:hAnsi="仿宋" w:cs="仿宋" w:hint="eastAsia"/>
                <w:kern w:val="0"/>
                <w:sz w:val="24"/>
              </w:rPr>
              <w:t>分装区</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分装区爆炸危险环境内电气设备及使用的缸、釜、桶等容器均应接地；</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分装区爆炸危险环境内所有配电线路应使用镀锌钢管配线，钢管与钢管、钢管与电气设备、钢管与钢管附件之间应采用螺纹连接，应连接紧实无松动；在电机进线口处、钢管与电气设备直接连接有困难处，应使用防爆挠性连接管连接，防爆挠性连接管应连接紧实无松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分装区爆炸危险环境内应设置可燃气体浓度报警装置；</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产生爆炸性气体混合物的分装区入口处均应设置人体静电消除装置，金属管做成的扶手可作为人体消除静电装置使用；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分装区货物严禁占用通道、中转区；腐蚀类危险化学品分装作业区地面、墙壁应做防腐蚀、防渗漏处理，照明灯具、通风设备、电气线路、生产设备等应无破损及明显锈蚀；</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分装区地面、墙壁应平整光滑，易于清洁</w:t>
            </w:r>
          </w:p>
        </w:tc>
        <w:tc>
          <w:tcPr>
            <w:tcW w:w="1762" w:type="dxa"/>
            <w:vMerge/>
          </w:tcPr>
          <w:p w:rsidR="00830B30" w:rsidRDefault="00830B30">
            <w:pPr>
              <w:tabs>
                <w:tab w:val="left" w:pos="420"/>
              </w:tabs>
              <w:rPr>
                <w:rFonts w:ascii="仿宋" w:eastAsia="仿宋" w:hAnsi="仿宋" w:cs="仿宋"/>
                <w:kern w:val="0"/>
                <w:sz w:val="24"/>
              </w:rPr>
            </w:pPr>
          </w:p>
        </w:tc>
        <w:tc>
          <w:tcPr>
            <w:tcW w:w="1450" w:type="dxa"/>
            <w:vMerge/>
          </w:tcPr>
          <w:p w:rsidR="00830B30" w:rsidRDefault="00830B30">
            <w:pPr>
              <w:rPr>
                <w:rFonts w:ascii="仿宋" w:eastAsia="仿宋" w:hAnsi="仿宋" w:cs="仿宋"/>
                <w:sz w:val="24"/>
              </w:rPr>
            </w:pPr>
          </w:p>
        </w:tc>
      </w:tr>
      <w:tr w:rsidR="00830B30">
        <w:trPr>
          <w:trHeight w:val="20"/>
        </w:trPr>
        <w:tc>
          <w:tcPr>
            <w:tcW w:w="705"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4</w:t>
            </w:r>
          </w:p>
        </w:tc>
        <w:tc>
          <w:tcPr>
            <w:tcW w:w="963"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作业安全</w:t>
            </w: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4.1</w:t>
            </w:r>
            <w:r>
              <w:rPr>
                <w:rFonts w:ascii="仿宋" w:eastAsia="仿宋" w:hAnsi="仿宋" w:cs="仿宋" w:hint="eastAsia"/>
                <w:kern w:val="0"/>
                <w:sz w:val="24"/>
              </w:rPr>
              <w:t>特殊作业</w:t>
            </w:r>
          </w:p>
        </w:tc>
        <w:tc>
          <w:tcPr>
            <w:tcW w:w="8160" w:type="dxa"/>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动火作业、进入受限空间作业、破土作业、临时用电作业、高处作业、吊装作业等特殊作业应实施作业许可管理，严格履行审批手续，应由主要负责人审批；</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特殊作业现场设置公示牌，内容至少包含施工方案、技术交底、培训记录、作业票，外来施工还应增加进厂审批手续；</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3</w:t>
            </w:r>
            <w:r>
              <w:rPr>
                <w:rFonts w:ascii="仿宋" w:eastAsia="仿宋" w:hAnsi="仿宋" w:cs="仿宋" w:hint="eastAsia"/>
                <w:kern w:val="0"/>
                <w:sz w:val="24"/>
              </w:rPr>
              <w:t>）特殊作业</w:t>
            </w:r>
            <w:r>
              <w:rPr>
                <w:rFonts w:ascii="仿宋" w:eastAsia="仿宋" w:hAnsi="仿宋" w:cs="仿宋" w:hint="eastAsia"/>
                <w:kern w:val="0"/>
                <w:sz w:val="24"/>
              </w:rPr>
              <w:t>现场配备相应安全防护用品（具）、消防设施及器材；</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）特殊作业监护人员应与作业票签名人员一致，按要求进行现场监护，不得随意离开监护岗位</w:t>
            </w:r>
          </w:p>
        </w:tc>
        <w:tc>
          <w:tcPr>
            <w:tcW w:w="1762" w:type="dxa"/>
            <w:vMerge w:val="restart"/>
          </w:tcPr>
          <w:p w:rsidR="00830B30" w:rsidRDefault="00830B30">
            <w:pPr>
              <w:tabs>
                <w:tab w:val="left" w:pos="420"/>
              </w:tabs>
              <w:rPr>
                <w:rFonts w:ascii="仿宋" w:eastAsia="仿宋" w:hAnsi="仿宋" w:cs="仿宋"/>
                <w:kern w:val="0"/>
                <w:sz w:val="24"/>
              </w:rPr>
            </w:pPr>
          </w:p>
        </w:tc>
        <w:tc>
          <w:tcPr>
            <w:tcW w:w="1450" w:type="dxa"/>
            <w:vMerge w:val="restart"/>
          </w:tcPr>
          <w:p w:rsidR="00830B30" w:rsidRDefault="00830B30">
            <w:pPr>
              <w:rPr>
                <w:rFonts w:ascii="仿宋" w:eastAsia="仿宋" w:hAnsi="仿宋" w:cs="仿宋"/>
                <w:sz w:val="24"/>
              </w:rPr>
            </w:pPr>
          </w:p>
        </w:tc>
      </w:tr>
      <w:tr w:rsidR="00830B30">
        <w:trPr>
          <w:trHeight w:val="20"/>
        </w:trPr>
        <w:tc>
          <w:tcPr>
            <w:tcW w:w="705" w:type="dxa"/>
            <w:vMerge/>
            <w:vAlign w:val="center"/>
          </w:tcPr>
          <w:p w:rsidR="00830B30" w:rsidRDefault="00830B30">
            <w:pPr>
              <w:tabs>
                <w:tab w:val="left" w:pos="420"/>
              </w:tabs>
              <w:rPr>
                <w:rFonts w:ascii="仿宋" w:eastAsia="仿宋" w:hAnsi="仿宋" w:cs="仿宋"/>
                <w:kern w:val="0"/>
                <w:sz w:val="24"/>
              </w:rPr>
            </w:pPr>
          </w:p>
        </w:tc>
        <w:tc>
          <w:tcPr>
            <w:tcW w:w="963" w:type="dxa"/>
            <w:vMerge/>
            <w:vAlign w:val="center"/>
          </w:tcPr>
          <w:p w:rsidR="00830B30" w:rsidRDefault="00830B30">
            <w:pPr>
              <w:tabs>
                <w:tab w:val="left" w:pos="420"/>
              </w:tabs>
              <w:rPr>
                <w:rFonts w:ascii="仿宋" w:eastAsia="仿宋" w:hAnsi="仿宋" w:cs="仿宋"/>
                <w:kern w:val="0"/>
                <w:sz w:val="24"/>
              </w:rPr>
            </w:pP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4.2</w:t>
            </w:r>
            <w:r>
              <w:rPr>
                <w:rFonts w:ascii="仿宋" w:eastAsia="仿宋" w:hAnsi="仿宋" w:cs="仿宋" w:hint="eastAsia"/>
                <w:kern w:val="0"/>
                <w:sz w:val="24"/>
              </w:rPr>
              <w:t>生产作业</w:t>
            </w:r>
          </w:p>
        </w:tc>
        <w:tc>
          <w:tcPr>
            <w:tcW w:w="8160" w:type="dxa"/>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）机动车辆一般不应进入储存区，当需进入时机动车应配装阻火器、灭火器或采取其他有效安全措施；</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）涉及易燃液体作业时需穿防静电工作服，应使用不产生火花的铜制、合金制或其他工具；</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）使用可移动的缸、釜、桶等容器进行分装时应接好静电夹；</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）盛放各类溶剂原料的容器应加盖封闭存放，应及时清理作业现场的废物、油迹、漆垢，保持环境整洁卫生；</w:t>
            </w:r>
          </w:p>
          <w:p w:rsidR="00830B30" w:rsidRDefault="0099591B">
            <w:pPr>
              <w:tabs>
                <w:tab w:val="left" w:pos="420"/>
              </w:tabs>
              <w:rPr>
                <w:rFonts w:ascii="仿宋" w:eastAsia="仿宋" w:hAnsi="仿宋" w:cs="仿宋"/>
                <w:kern w:val="0"/>
                <w:sz w:val="24"/>
              </w:rPr>
            </w:pPr>
            <w:bookmarkStart w:id="3" w:name="_Hlk45558393"/>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）从事腐蚀品类危险化学品作业的人员，应佩戴护目镜及耐酸碱防护服、手套、鞋等劳动防护用品</w:t>
            </w:r>
            <w:bookmarkEnd w:id="3"/>
            <w:r>
              <w:rPr>
                <w:rFonts w:ascii="仿宋" w:eastAsia="仿宋" w:hAnsi="仿宋" w:cs="仿宋" w:hint="eastAsia"/>
                <w:kern w:val="0"/>
                <w:sz w:val="24"/>
              </w:rPr>
              <w:t>；</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）从事毒害品类危险化学品作业的人员，应佩戴防毒口罩、防护手套等劳动防护用品；涉剧毒品作业用过的工作服、手套等用品放在库外安全地方，妥善保管并及时处理；</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）装卸搬运氧化剂、有机过氧化剂时不得乱扔乱摔，要轻拿轻放，避免摩擦、撞击、震动等，防止发生爆炸事故</w:t>
            </w:r>
          </w:p>
        </w:tc>
        <w:tc>
          <w:tcPr>
            <w:tcW w:w="1762" w:type="dxa"/>
            <w:vMerge/>
          </w:tcPr>
          <w:p w:rsidR="00830B30" w:rsidRDefault="00830B30">
            <w:pPr>
              <w:tabs>
                <w:tab w:val="left" w:pos="420"/>
              </w:tabs>
              <w:rPr>
                <w:rFonts w:ascii="仿宋" w:eastAsia="仿宋" w:hAnsi="仿宋" w:cs="仿宋"/>
                <w:kern w:val="0"/>
                <w:sz w:val="24"/>
              </w:rPr>
            </w:pPr>
          </w:p>
        </w:tc>
        <w:tc>
          <w:tcPr>
            <w:tcW w:w="1450" w:type="dxa"/>
            <w:vMerge/>
          </w:tcPr>
          <w:p w:rsidR="00830B30" w:rsidRDefault="00830B30">
            <w:pPr>
              <w:rPr>
                <w:rFonts w:ascii="仿宋" w:eastAsia="仿宋" w:hAnsi="仿宋" w:cs="仿宋"/>
                <w:sz w:val="24"/>
              </w:rPr>
            </w:pPr>
          </w:p>
        </w:tc>
      </w:tr>
      <w:tr w:rsidR="00830B30">
        <w:trPr>
          <w:trHeight w:val="20"/>
        </w:trPr>
        <w:tc>
          <w:tcPr>
            <w:tcW w:w="705"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5</w:t>
            </w:r>
          </w:p>
        </w:tc>
        <w:tc>
          <w:tcPr>
            <w:tcW w:w="2097" w:type="dxa"/>
            <w:gridSpan w:val="2"/>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危险化学品管理</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）企业应对所有危险化学品，包括产品、原料和中间产品进行普查，建立危险化学品档案，档案内容至少包括：危险化学品名称及存放、生产、使用地点、数量、危险性分类；</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）危险化学品生产单位应提供与危险化学品相符的化学品安全技术说明书，并在包装（包括外包装件）上应粘贴或者拴挂与包装内危险化学品相符的化学品安全标签</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tabs>
                <w:tab w:val="left" w:pos="420"/>
              </w:tabs>
              <w:ind w:left="425" w:hanging="425"/>
              <w:rPr>
                <w:rFonts w:ascii="仿宋" w:eastAsia="仿宋" w:hAnsi="仿宋" w:cs="仿宋"/>
                <w:sz w:val="24"/>
              </w:rPr>
            </w:pPr>
          </w:p>
        </w:tc>
      </w:tr>
      <w:tr w:rsidR="00830B30">
        <w:trPr>
          <w:trHeight w:val="20"/>
        </w:trPr>
        <w:tc>
          <w:tcPr>
            <w:tcW w:w="705"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6</w:t>
            </w:r>
          </w:p>
        </w:tc>
        <w:tc>
          <w:tcPr>
            <w:tcW w:w="963" w:type="dxa"/>
            <w:vMerge w:val="restart"/>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应急救援</w:t>
            </w: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6.1</w:t>
            </w:r>
            <w:r>
              <w:rPr>
                <w:rFonts w:ascii="仿宋" w:eastAsia="仿宋" w:hAnsi="仿宋" w:cs="仿宋" w:hint="eastAsia"/>
                <w:kern w:val="0"/>
                <w:sz w:val="24"/>
              </w:rPr>
              <w:t>应急救援物</w:t>
            </w:r>
            <w:r>
              <w:rPr>
                <w:rFonts w:ascii="仿宋" w:eastAsia="仿宋" w:hAnsi="仿宋" w:cs="仿宋" w:hint="eastAsia"/>
                <w:kern w:val="0"/>
                <w:sz w:val="24"/>
              </w:rPr>
              <w:lastRenderedPageBreak/>
              <w:t>资配备</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1</w:t>
            </w:r>
            <w:r>
              <w:rPr>
                <w:rFonts w:ascii="仿宋" w:eastAsia="仿宋" w:hAnsi="仿宋" w:cs="仿宋" w:hint="eastAsia"/>
                <w:kern w:val="0"/>
                <w:sz w:val="24"/>
              </w:rPr>
              <w:t>）厂区各场所应按照《建筑灭火器配置设计规范》（</w:t>
            </w:r>
            <w:r>
              <w:rPr>
                <w:rFonts w:ascii="仿宋" w:eastAsia="仿宋" w:hAnsi="仿宋" w:cs="仿宋" w:hint="eastAsia"/>
                <w:kern w:val="0"/>
                <w:sz w:val="24"/>
              </w:rPr>
              <w:t>GB50140-2005</w:t>
            </w:r>
            <w:r>
              <w:rPr>
                <w:rFonts w:ascii="仿宋" w:eastAsia="仿宋" w:hAnsi="仿宋" w:cs="仿宋" w:hint="eastAsia"/>
                <w:kern w:val="0"/>
                <w:sz w:val="24"/>
              </w:rPr>
              <w:t>）的要求配备相应灭火器；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lastRenderedPageBreak/>
              <w:t>（</w:t>
            </w:r>
            <w:r>
              <w:rPr>
                <w:rFonts w:ascii="仿宋" w:eastAsia="仿宋" w:hAnsi="仿宋" w:cs="仿宋" w:hint="eastAsia"/>
                <w:kern w:val="0"/>
                <w:sz w:val="24"/>
              </w:rPr>
              <w:t>2</w:t>
            </w:r>
            <w:r>
              <w:rPr>
                <w:rFonts w:ascii="仿宋" w:eastAsia="仿宋" w:hAnsi="仿宋" w:cs="仿宋" w:hint="eastAsia"/>
                <w:kern w:val="0"/>
                <w:sz w:val="24"/>
              </w:rPr>
              <w:t>）厂区应设置室外消火栓系统，建筑占地面积大于</w:t>
            </w:r>
            <w:r>
              <w:rPr>
                <w:rFonts w:ascii="仿宋" w:eastAsia="仿宋" w:hAnsi="仿宋" w:cs="仿宋" w:hint="eastAsia"/>
                <w:kern w:val="0"/>
                <w:sz w:val="24"/>
              </w:rPr>
              <w:t>300m</w:t>
            </w:r>
            <w:r>
              <w:rPr>
                <w:rFonts w:ascii="仿宋" w:eastAsia="仿宋" w:hAnsi="仿宋" w:cs="仿宋" w:hint="eastAsia"/>
                <w:kern w:val="0"/>
                <w:sz w:val="24"/>
                <w:vertAlign w:val="superscript"/>
              </w:rPr>
              <w:t>2</w:t>
            </w:r>
            <w:r>
              <w:rPr>
                <w:rFonts w:ascii="仿宋" w:eastAsia="仿宋" w:hAnsi="仿宋" w:cs="仿宋" w:hint="eastAsia"/>
                <w:kern w:val="0"/>
                <w:sz w:val="24"/>
              </w:rPr>
              <w:t>的厂房和仓库应设置室内消火栓系统；</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）可能接触腐蚀品类、毒害品类危险化学品的场所应设置冲淋洗眼器；</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）可能接触剧毒品类危险化学品的场所应配备解毒剂等应急物资</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rPr>
                <w:rFonts w:ascii="仿宋" w:eastAsia="仿宋" w:hAnsi="仿宋" w:cs="仿宋"/>
                <w:sz w:val="24"/>
              </w:rPr>
            </w:pPr>
          </w:p>
        </w:tc>
      </w:tr>
      <w:tr w:rsidR="00830B30">
        <w:trPr>
          <w:trHeight w:val="20"/>
        </w:trPr>
        <w:tc>
          <w:tcPr>
            <w:tcW w:w="705" w:type="dxa"/>
            <w:vMerge/>
            <w:vAlign w:val="center"/>
          </w:tcPr>
          <w:p w:rsidR="00830B30" w:rsidRDefault="00830B30">
            <w:pPr>
              <w:tabs>
                <w:tab w:val="left" w:pos="420"/>
              </w:tabs>
              <w:rPr>
                <w:rFonts w:ascii="仿宋" w:eastAsia="仿宋" w:hAnsi="仿宋" w:cs="仿宋"/>
                <w:kern w:val="0"/>
                <w:sz w:val="24"/>
              </w:rPr>
            </w:pPr>
          </w:p>
        </w:tc>
        <w:tc>
          <w:tcPr>
            <w:tcW w:w="963" w:type="dxa"/>
            <w:vMerge/>
            <w:vAlign w:val="center"/>
          </w:tcPr>
          <w:p w:rsidR="00830B30" w:rsidRDefault="00830B30">
            <w:pPr>
              <w:tabs>
                <w:tab w:val="left" w:pos="420"/>
              </w:tabs>
              <w:rPr>
                <w:rFonts w:ascii="仿宋" w:eastAsia="仿宋" w:hAnsi="仿宋" w:cs="仿宋"/>
                <w:kern w:val="0"/>
                <w:sz w:val="24"/>
              </w:rPr>
            </w:pPr>
          </w:p>
        </w:tc>
        <w:tc>
          <w:tcPr>
            <w:tcW w:w="1134"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6.2</w:t>
            </w:r>
            <w:r>
              <w:rPr>
                <w:rFonts w:ascii="仿宋" w:eastAsia="仿宋" w:hAnsi="仿宋" w:cs="仿宋" w:hint="eastAsia"/>
                <w:kern w:val="0"/>
                <w:sz w:val="24"/>
              </w:rPr>
              <w:t>应急预案及演练</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每年至少组织一次综合应急预案演练或者专项应急预案演练，每半年至少组织一次现场处置方案演练</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spacing w:line="320" w:lineRule="exact"/>
              <w:rPr>
                <w:rFonts w:ascii="仿宋" w:eastAsia="仿宋" w:hAnsi="仿宋" w:cs="仿宋"/>
                <w:kern w:val="0"/>
                <w:sz w:val="24"/>
              </w:rPr>
            </w:pPr>
          </w:p>
        </w:tc>
      </w:tr>
      <w:tr w:rsidR="00830B30">
        <w:trPr>
          <w:trHeight w:val="20"/>
        </w:trPr>
        <w:tc>
          <w:tcPr>
            <w:tcW w:w="705"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7</w:t>
            </w:r>
          </w:p>
        </w:tc>
        <w:tc>
          <w:tcPr>
            <w:tcW w:w="2097" w:type="dxa"/>
            <w:gridSpan w:val="2"/>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安全检查及隐患治理</w:t>
            </w:r>
          </w:p>
        </w:tc>
        <w:tc>
          <w:tcPr>
            <w:tcW w:w="8160" w:type="dxa"/>
            <w:vAlign w:val="center"/>
          </w:tcPr>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企业应定期开展安全检查及事故隐患排查，建立隐患管理台帐，明确整改负责人、整改时限等要求，及时消除隐患：</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每班巡检至少应包含储罐、输送泵等设备设施是否完好，运行是否正常；电气线路、可燃或有毒气体浓度报警装置、人体静电消除装置、静电接地系统等配套设施连接是否有效，有无破损脱落；物料管线标识是否清晰，有无跑冒滴漏现象；灭火器材是否按规定设置等内容；</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）每周至少对发电机房、消防泵房、配电房等场所开展一次检查，确保相关设备设施的完好性、有效性；</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）每半月至少对灭火器、应急灯的完好性和有效性开展一次检查；</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）每月对可燃或有毒气体浓度报警装置、漏电保护开关等开展一次性能检查或测试；</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5</w:t>
            </w:r>
            <w:r>
              <w:rPr>
                <w:rFonts w:ascii="仿宋" w:eastAsia="仿宋" w:hAnsi="仿宋" w:cs="仿宋" w:hint="eastAsia"/>
                <w:kern w:val="0"/>
                <w:sz w:val="24"/>
              </w:rPr>
              <w:t>）主要负责人至少每</w:t>
            </w:r>
            <w:r>
              <w:rPr>
                <w:rFonts w:ascii="仿宋" w:eastAsia="仿宋" w:hAnsi="仿宋" w:cs="仿宋" w:hint="eastAsia"/>
                <w:kern w:val="0"/>
                <w:sz w:val="24"/>
              </w:rPr>
              <w:t>月按照《现场安全重点检查指引》及本清单内容组织一次全面隐患排查；</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6</w:t>
            </w:r>
            <w:r>
              <w:rPr>
                <w:rFonts w:ascii="仿宋" w:eastAsia="仿宋" w:hAnsi="仿宋" w:cs="仿宋" w:hint="eastAsia"/>
                <w:kern w:val="0"/>
                <w:sz w:val="24"/>
              </w:rPr>
              <w:t>）每季度至少对阻火器开展一次外观完好性检查；</w:t>
            </w:r>
          </w:p>
          <w:p w:rsidR="00830B30" w:rsidRDefault="0099591B">
            <w:pPr>
              <w:tabs>
                <w:tab w:val="left" w:pos="420"/>
              </w:tabs>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7</w:t>
            </w:r>
            <w:r>
              <w:rPr>
                <w:rFonts w:ascii="仿宋" w:eastAsia="仿宋" w:hAnsi="仿宋" w:cs="仿宋" w:hint="eastAsia"/>
                <w:kern w:val="0"/>
                <w:sz w:val="24"/>
              </w:rPr>
              <w:t>）每半年至少对爆炸危险环境内静电接地主干线、人体静电消除装置等开展一次接地电阻检测</w:t>
            </w:r>
          </w:p>
        </w:tc>
        <w:tc>
          <w:tcPr>
            <w:tcW w:w="1762" w:type="dxa"/>
          </w:tcPr>
          <w:p w:rsidR="00830B30" w:rsidRDefault="00830B30">
            <w:pPr>
              <w:tabs>
                <w:tab w:val="left" w:pos="420"/>
              </w:tabs>
              <w:rPr>
                <w:rFonts w:ascii="仿宋" w:eastAsia="仿宋" w:hAnsi="仿宋" w:cs="仿宋"/>
                <w:kern w:val="0"/>
                <w:sz w:val="24"/>
              </w:rPr>
            </w:pPr>
          </w:p>
        </w:tc>
        <w:tc>
          <w:tcPr>
            <w:tcW w:w="1450" w:type="dxa"/>
          </w:tcPr>
          <w:p w:rsidR="00830B30" w:rsidRDefault="00830B30">
            <w:pPr>
              <w:spacing w:line="320" w:lineRule="exact"/>
              <w:rPr>
                <w:rFonts w:ascii="仿宋" w:eastAsia="仿宋" w:hAnsi="仿宋" w:cs="仿宋"/>
                <w:kern w:val="0"/>
                <w:sz w:val="24"/>
              </w:rPr>
            </w:pPr>
          </w:p>
        </w:tc>
      </w:tr>
    </w:tbl>
    <w:p w:rsidR="00830B30" w:rsidRDefault="00830B30">
      <w:pPr>
        <w:spacing w:line="20" w:lineRule="exact"/>
      </w:pPr>
    </w:p>
    <w:sectPr w:rsidR="00830B30" w:rsidSect="00830B30">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1B" w:rsidRDefault="0099591B" w:rsidP="00830B30">
      <w:r>
        <w:separator/>
      </w:r>
    </w:p>
  </w:endnote>
  <w:endnote w:type="continuationSeparator" w:id="1">
    <w:p w:rsidR="0099591B" w:rsidRDefault="0099591B" w:rsidP="00830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30" w:rsidRDefault="00830B30">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830B30" w:rsidRDefault="00830B30">
                <w:pPr>
                  <w:pStyle w:val="a4"/>
                </w:pPr>
                <w:r>
                  <w:rPr>
                    <w:rFonts w:hint="eastAsia"/>
                  </w:rPr>
                  <w:fldChar w:fldCharType="begin"/>
                </w:r>
                <w:r w:rsidR="0099591B">
                  <w:rPr>
                    <w:rFonts w:hint="eastAsia"/>
                  </w:rPr>
                  <w:instrText xml:space="preserve"> PAGE  \* MERGEFORMAT </w:instrText>
                </w:r>
                <w:r>
                  <w:rPr>
                    <w:rFonts w:hint="eastAsia"/>
                  </w:rPr>
                  <w:fldChar w:fldCharType="separate"/>
                </w:r>
                <w:r w:rsidR="003865FC">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1B" w:rsidRDefault="0099591B" w:rsidP="00830B30">
      <w:r>
        <w:separator/>
      </w:r>
    </w:p>
  </w:footnote>
  <w:footnote w:type="continuationSeparator" w:id="1">
    <w:p w:rsidR="0099591B" w:rsidRDefault="0099591B" w:rsidP="00830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06D"/>
    <w:multiLevelType w:val="multilevel"/>
    <w:tmpl w:val="0BB8406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C81"/>
    <w:rsid w:val="00010C20"/>
    <w:rsid w:val="00012E41"/>
    <w:rsid w:val="00034481"/>
    <w:rsid w:val="000345D3"/>
    <w:rsid w:val="000504D1"/>
    <w:rsid w:val="000543A3"/>
    <w:rsid w:val="00071F3C"/>
    <w:rsid w:val="000A5757"/>
    <w:rsid w:val="00111D28"/>
    <w:rsid w:val="0011400C"/>
    <w:rsid w:val="00123A83"/>
    <w:rsid w:val="00192BE0"/>
    <w:rsid w:val="001B26DA"/>
    <w:rsid w:val="001C198E"/>
    <w:rsid w:val="001E193D"/>
    <w:rsid w:val="001E5C73"/>
    <w:rsid w:val="001F2A39"/>
    <w:rsid w:val="001F39E6"/>
    <w:rsid w:val="00205A3F"/>
    <w:rsid w:val="00222DFE"/>
    <w:rsid w:val="00240DA7"/>
    <w:rsid w:val="00304BFB"/>
    <w:rsid w:val="00307302"/>
    <w:rsid w:val="0031047E"/>
    <w:rsid w:val="00373A38"/>
    <w:rsid w:val="003821D4"/>
    <w:rsid w:val="00382788"/>
    <w:rsid w:val="003865FC"/>
    <w:rsid w:val="00387582"/>
    <w:rsid w:val="003A3C7B"/>
    <w:rsid w:val="003E4E4B"/>
    <w:rsid w:val="003E5E03"/>
    <w:rsid w:val="00415434"/>
    <w:rsid w:val="004460D9"/>
    <w:rsid w:val="00491312"/>
    <w:rsid w:val="0049285E"/>
    <w:rsid w:val="00494CCD"/>
    <w:rsid w:val="00496C08"/>
    <w:rsid w:val="00496C48"/>
    <w:rsid w:val="004C3554"/>
    <w:rsid w:val="00505350"/>
    <w:rsid w:val="00521CE2"/>
    <w:rsid w:val="00526E39"/>
    <w:rsid w:val="00533780"/>
    <w:rsid w:val="00536A5F"/>
    <w:rsid w:val="00551DE6"/>
    <w:rsid w:val="00573FC6"/>
    <w:rsid w:val="00576D95"/>
    <w:rsid w:val="00583F06"/>
    <w:rsid w:val="005C2D99"/>
    <w:rsid w:val="005C4B49"/>
    <w:rsid w:val="005D313B"/>
    <w:rsid w:val="005D579F"/>
    <w:rsid w:val="005E5CA7"/>
    <w:rsid w:val="00624A3C"/>
    <w:rsid w:val="0062584F"/>
    <w:rsid w:val="00633E94"/>
    <w:rsid w:val="00645175"/>
    <w:rsid w:val="00663B43"/>
    <w:rsid w:val="00671067"/>
    <w:rsid w:val="00671F8D"/>
    <w:rsid w:val="006C043A"/>
    <w:rsid w:val="006C3047"/>
    <w:rsid w:val="006D3979"/>
    <w:rsid w:val="006D7289"/>
    <w:rsid w:val="0072254D"/>
    <w:rsid w:val="007376CD"/>
    <w:rsid w:val="00755C81"/>
    <w:rsid w:val="00762561"/>
    <w:rsid w:val="00770711"/>
    <w:rsid w:val="00785C9A"/>
    <w:rsid w:val="007A1519"/>
    <w:rsid w:val="007A68A6"/>
    <w:rsid w:val="007D0C36"/>
    <w:rsid w:val="007F33F5"/>
    <w:rsid w:val="00802B50"/>
    <w:rsid w:val="00805207"/>
    <w:rsid w:val="00807DC7"/>
    <w:rsid w:val="008165D0"/>
    <w:rsid w:val="00826C76"/>
    <w:rsid w:val="0082764B"/>
    <w:rsid w:val="00830B30"/>
    <w:rsid w:val="0083395C"/>
    <w:rsid w:val="008518FD"/>
    <w:rsid w:val="008835F5"/>
    <w:rsid w:val="00885C2C"/>
    <w:rsid w:val="008A26AB"/>
    <w:rsid w:val="008B3139"/>
    <w:rsid w:val="008C055B"/>
    <w:rsid w:val="008D19FB"/>
    <w:rsid w:val="008D59A6"/>
    <w:rsid w:val="00911E95"/>
    <w:rsid w:val="00914070"/>
    <w:rsid w:val="00916B2E"/>
    <w:rsid w:val="0093072A"/>
    <w:rsid w:val="009720AD"/>
    <w:rsid w:val="00981B01"/>
    <w:rsid w:val="009944A3"/>
    <w:rsid w:val="0099591B"/>
    <w:rsid w:val="00997EE3"/>
    <w:rsid w:val="009B416C"/>
    <w:rsid w:val="009C0C3F"/>
    <w:rsid w:val="009C5113"/>
    <w:rsid w:val="009E772D"/>
    <w:rsid w:val="009F4525"/>
    <w:rsid w:val="00A11253"/>
    <w:rsid w:val="00A16CBD"/>
    <w:rsid w:val="00A202C7"/>
    <w:rsid w:val="00A2445E"/>
    <w:rsid w:val="00A27B41"/>
    <w:rsid w:val="00A31C41"/>
    <w:rsid w:val="00AA478C"/>
    <w:rsid w:val="00AC4CCC"/>
    <w:rsid w:val="00AD1ECD"/>
    <w:rsid w:val="00AE02A5"/>
    <w:rsid w:val="00B15D32"/>
    <w:rsid w:val="00B2004D"/>
    <w:rsid w:val="00B2158F"/>
    <w:rsid w:val="00B27B9C"/>
    <w:rsid w:val="00B44F30"/>
    <w:rsid w:val="00B45E4F"/>
    <w:rsid w:val="00B505AE"/>
    <w:rsid w:val="00B55676"/>
    <w:rsid w:val="00B6249A"/>
    <w:rsid w:val="00B70E16"/>
    <w:rsid w:val="00B82485"/>
    <w:rsid w:val="00B9517B"/>
    <w:rsid w:val="00BA06CA"/>
    <w:rsid w:val="00BA30B4"/>
    <w:rsid w:val="00BA4B9E"/>
    <w:rsid w:val="00BB6522"/>
    <w:rsid w:val="00BE414C"/>
    <w:rsid w:val="00BF6366"/>
    <w:rsid w:val="00C44140"/>
    <w:rsid w:val="00C6044F"/>
    <w:rsid w:val="00C62526"/>
    <w:rsid w:val="00CB2DBE"/>
    <w:rsid w:val="00CB40F3"/>
    <w:rsid w:val="00CC0CC1"/>
    <w:rsid w:val="00D4496E"/>
    <w:rsid w:val="00D96B23"/>
    <w:rsid w:val="00DA0C27"/>
    <w:rsid w:val="00DA4279"/>
    <w:rsid w:val="00DB392C"/>
    <w:rsid w:val="00DB4E34"/>
    <w:rsid w:val="00DF1FB5"/>
    <w:rsid w:val="00E0062C"/>
    <w:rsid w:val="00E22712"/>
    <w:rsid w:val="00E86B50"/>
    <w:rsid w:val="00EA0702"/>
    <w:rsid w:val="00EC3B44"/>
    <w:rsid w:val="00EC3BCC"/>
    <w:rsid w:val="00EE5594"/>
    <w:rsid w:val="00F128A4"/>
    <w:rsid w:val="00F4165E"/>
    <w:rsid w:val="00F87094"/>
    <w:rsid w:val="00F9009B"/>
    <w:rsid w:val="00F955BB"/>
    <w:rsid w:val="03343EBB"/>
    <w:rsid w:val="056668B2"/>
    <w:rsid w:val="08C83B2F"/>
    <w:rsid w:val="122D1F74"/>
    <w:rsid w:val="162916BB"/>
    <w:rsid w:val="19801548"/>
    <w:rsid w:val="1EB663A6"/>
    <w:rsid w:val="237D78B4"/>
    <w:rsid w:val="2522708C"/>
    <w:rsid w:val="27F118CE"/>
    <w:rsid w:val="2977501F"/>
    <w:rsid w:val="2F7D13F9"/>
    <w:rsid w:val="2F937378"/>
    <w:rsid w:val="2F9A6BE0"/>
    <w:rsid w:val="35540C46"/>
    <w:rsid w:val="37640465"/>
    <w:rsid w:val="3D751488"/>
    <w:rsid w:val="4172694C"/>
    <w:rsid w:val="49C95DA9"/>
    <w:rsid w:val="4EA04E91"/>
    <w:rsid w:val="5BB246D2"/>
    <w:rsid w:val="5E8252D6"/>
    <w:rsid w:val="618B47B9"/>
    <w:rsid w:val="61A70453"/>
    <w:rsid w:val="625243E4"/>
    <w:rsid w:val="63753EC2"/>
    <w:rsid w:val="640938EF"/>
    <w:rsid w:val="64E630BF"/>
    <w:rsid w:val="69D46415"/>
    <w:rsid w:val="6F7D744C"/>
    <w:rsid w:val="6F917537"/>
    <w:rsid w:val="710F5D5A"/>
    <w:rsid w:val="73F87AE5"/>
    <w:rsid w:val="7BFF6AAA"/>
    <w:rsid w:val="7DFC418B"/>
    <w:rsid w:val="7E0B2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30B30"/>
    <w:rPr>
      <w:sz w:val="18"/>
      <w:szCs w:val="18"/>
    </w:rPr>
  </w:style>
  <w:style w:type="paragraph" w:styleId="a4">
    <w:name w:val="footer"/>
    <w:basedOn w:val="a"/>
    <w:link w:val="Char0"/>
    <w:qFormat/>
    <w:rsid w:val="00830B30"/>
    <w:pPr>
      <w:tabs>
        <w:tab w:val="center" w:pos="4153"/>
        <w:tab w:val="right" w:pos="8306"/>
      </w:tabs>
      <w:snapToGrid w:val="0"/>
      <w:jc w:val="left"/>
    </w:pPr>
    <w:rPr>
      <w:sz w:val="18"/>
      <w:szCs w:val="18"/>
    </w:rPr>
  </w:style>
  <w:style w:type="paragraph" w:styleId="a5">
    <w:name w:val="header"/>
    <w:basedOn w:val="a"/>
    <w:link w:val="Char1"/>
    <w:qFormat/>
    <w:rsid w:val="00830B3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830B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30B30"/>
    <w:pPr>
      <w:ind w:firstLineChars="200" w:firstLine="420"/>
    </w:pPr>
  </w:style>
  <w:style w:type="character" w:customStyle="1" w:styleId="Char1">
    <w:name w:val="页眉 Char"/>
    <w:basedOn w:val="a0"/>
    <w:link w:val="a5"/>
    <w:qFormat/>
    <w:rsid w:val="00830B30"/>
    <w:rPr>
      <w:rFonts w:asciiTheme="minorHAnsi" w:eastAsiaTheme="minorEastAsia" w:hAnsiTheme="minorHAnsi" w:cstheme="minorBidi"/>
      <w:kern w:val="2"/>
      <w:sz w:val="18"/>
      <w:szCs w:val="18"/>
    </w:rPr>
  </w:style>
  <w:style w:type="character" w:customStyle="1" w:styleId="Char0">
    <w:name w:val="页脚 Char"/>
    <w:basedOn w:val="a0"/>
    <w:link w:val="a4"/>
    <w:qFormat/>
    <w:rsid w:val="00830B30"/>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830B30"/>
    <w:rPr>
      <w:rFonts w:asciiTheme="minorHAnsi" w:eastAsiaTheme="minorEastAsia" w:hAnsiTheme="minorHAnsi" w:cstheme="minorBidi"/>
      <w:kern w:val="2"/>
      <w:sz w:val="18"/>
      <w:szCs w:val="18"/>
    </w:rPr>
  </w:style>
  <w:style w:type="paragraph" w:customStyle="1" w:styleId="1">
    <w:name w:val="修订1"/>
    <w:hidden/>
    <w:uiPriority w:val="99"/>
    <w:semiHidden/>
    <w:qFormat/>
    <w:rsid w:val="00830B30"/>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dc:creator>
  <cp:lastModifiedBy>朱向东</cp:lastModifiedBy>
  <cp:revision>2</cp:revision>
  <dcterms:created xsi:type="dcterms:W3CDTF">2020-10-16T08:07:00Z</dcterms:created>
  <dcterms:modified xsi:type="dcterms:W3CDTF">2020-10-16T08:07:00Z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