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90" w:rsidRDefault="006B6FC3">
      <w:pPr>
        <w:rPr>
          <w:rFonts w:ascii="黑体" w:eastAsia="黑体" w:hAnsi="黑体" w:cs="方正小标宋简体"/>
          <w:sz w:val="32"/>
          <w:szCs w:val="32"/>
        </w:rPr>
      </w:pPr>
      <w:r>
        <w:rPr>
          <w:rFonts w:ascii="黑体" w:eastAsia="黑体" w:hAnsi="黑体" w:cs="方正小标宋简体" w:hint="eastAsia"/>
          <w:sz w:val="32"/>
          <w:szCs w:val="32"/>
        </w:rPr>
        <w:t>附件</w:t>
      </w:r>
      <w:r>
        <w:rPr>
          <w:rFonts w:ascii="黑体" w:eastAsia="黑体" w:hAnsi="黑体" w:cs="方正小标宋简体"/>
          <w:sz w:val="32"/>
          <w:szCs w:val="32"/>
        </w:rPr>
        <w:t>5</w:t>
      </w:r>
      <w:r>
        <w:rPr>
          <w:rFonts w:ascii="黑体" w:eastAsia="黑体" w:hAnsi="黑体" w:cs="方正小标宋简体" w:hint="eastAsia"/>
          <w:sz w:val="32"/>
          <w:szCs w:val="32"/>
        </w:rPr>
        <w:t>：</w:t>
      </w:r>
    </w:p>
    <w:p w:rsidR="00756990" w:rsidRDefault="006B6FC3">
      <w:pPr>
        <w:jc w:val="center"/>
        <w:rPr>
          <w:rFonts w:ascii="方正小标宋简体" w:eastAsia="方正小标宋简体" w:hAnsi="Times New Roman" w:cs="方正小标宋简体"/>
          <w:b/>
          <w:bCs/>
          <w:sz w:val="44"/>
          <w:szCs w:val="44"/>
        </w:rPr>
      </w:pPr>
      <w:r>
        <w:rPr>
          <w:rFonts w:ascii="方正小标宋简体" w:eastAsia="方正小标宋简体" w:hAnsi="Times New Roman" w:cs="方正小标宋简体" w:hint="eastAsia"/>
          <w:b/>
          <w:bCs/>
          <w:sz w:val="44"/>
          <w:szCs w:val="44"/>
        </w:rPr>
        <w:t>深圳市危险化学品企业安全生产标准化三级达标审查重点清单（试行）</w:t>
      </w:r>
    </w:p>
    <w:p w:rsidR="00756990" w:rsidRDefault="006B6FC3">
      <w:pPr>
        <w:jc w:val="center"/>
        <w:rPr>
          <w:rFonts w:ascii="方正小标宋简体" w:eastAsia="方正小标宋简体" w:hAnsi="Times New Roman" w:cs="方正小标宋简体"/>
          <w:b/>
          <w:bCs/>
          <w:sz w:val="44"/>
          <w:szCs w:val="44"/>
        </w:rPr>
      </w:pPr>
      <w:r>
        <w:rPr>
          <w:rFonts w:ascii="方正小标宋简体" w:eastAsia="方正小标宋简体" w:hAnsi="Times New Roman" w:cs="方正小标宋简体" w:hint="eastAsia"/>
          <w:b/>
          <w:bCs/>
          <w:sz w:val="44"/>
          <w:szCs w:val="44"/>
        </w:rPr>
        <w:t>（油漆、油墨、粘合剂类危险化学品生产企业）</w:t>
      </w:r>
    </w:p>
    <w:p w:rsidR="00756990" w:rsidRDefault="006B6FC3">
      <w:pPr>
        <w:spacing w:line="560" w:lineRule="exact"/>
        <w:jc w:val="center"/>
        <w:rPr>
          <w:rFonts w:ascii="黑体" w:eastAsia="黑体" w:hAnsi="黑体"/>
          <w:b/>
          <w:bCs/>
          <w:sz w:val="32"/>
          <w:szCs w:val="32"/>
        </w:rPr>
      </w:pPr>
      <w:r>
        <w:rPr>
          <w:rFonts w:ascii="黑体" w:eastAsia="黑体" w:hAnsi="黑体" w:hint="eastAsia"/>
          <w:b/>
          <w:bCs/>
          <w:sz w:val="32"/>
          <w:szCs w:val="32"/>
        </w:rPr>
        <w:t>审</w:t>
      </w:r>
      <w:r>
        <w:rPr>
          <w:rFonts w:ascii="黑体" w:eastAsia="黑体" w:hAnsi="黑体" w:hint="eastAsia"/>
          <w:b/>
          <w:bCs/>
          <w:sz w:val="32"/>
          <w:szCs w:val="32"/>
        </w:rPr>
        <w:t xml:space="preserve"> </w:t>
      </w:r>
      <w:r>
        <w:rPr>
          <w:rFonts w:ascii="黑体" w:eastAsia="黑体" w:hAnsi="黑体" w:hint="eastAsia"/>
          <w:b/>
          <w:bCs/>
          <w:sz w:val="32"/>
          <w:szCs w:val="32"/>
        </w:rPr>
        <w:t>查</w:t>
      </w:r>
      <w:r>
        <w:rPr>
          <w:rFonts w:ascii="黑体" w:eastAsia="黑体" w:hAnsi="黑体" w:hint="eastAsia"/>
          <w:b/>
          <w:bCs/>
          <w:sz w:val="32"/>
          <w:szCs w:val="32"/>
        </w:rPr>
        <w:t xml:space="preserve"> </w:t>
      </w:r>
      <w:r>
        <w:rPr>
          <w:rFonts w:ascii="黑体" w:eastAsia="黑体" w:hAnsi="黑体" w:hint="eastAsia"/>
          <w:b/>
          <w:bCs/>
          <w:sz w:val="32"/>
          <w:szCs w:val="32"/>
        </w:rPr>
        <w:t>说</w:t>
      </w:r>
      <w:r>
        <w:rPr>
          <w:rFonts w:ascii="黑体" w:eastAsia="黑体" w:hAnsi="黑体" w:hint="eastAsia"/>
          <w:b/>
          <w:bCs/>
          <w:sz w:val="32"/>
          <w:szCs w:val="32"/>
        </w:rPr>
        <w:t xml:space="preserve"> </w:t>
      </w:r>
      <w:r>
        <w:rPr>
          <w:rFonts w:ascii="黑体" w:eastAsia="黑体" w:hAnsi="黑体" w:hint="eastAsia"/>
          <w:b/>
          <w:bCs/>
          <w:sz w:val="32"/>
          <w:szCs w:val="32"/>
        </w:rPr>
        <w:t>明</w:t>
      </w:r>
    </w:p>
    <w:p w:rsidR="00756990" w:rsidRDefault="006B6FC3">
      <w:pPr>
        <w:pStyle w:val="a8"/>
        <w:numPr>
          <w:ilvl w:val="0"/>
          <w:numId w:val="1"/>
        </w:numPr>
        <w:tabs>
          <w:tab w:val="left" w:pos="851"/>
        </w:tabs>
        <w:spacing w:line="400" w:lineRule="exact"/>
        <w:ind w:left="839" w:firstLineChars="0" w:hanging="357"/>
        <w:rPr>
          <w:rFonts w:ascii="仿宋_GB2312" w:eastAsia="仿宋_GB2312"/>
          <w:sz w:val="24"/>
        </w:rPr>
      </w:pPr>
      <w:r>
        <w:rPr>
          <w:rFonts w:ascii="仿宋_GB2312" w:eastAsia="仿宋_GB2312" w:hint="eastAsia"/>
          <w:sz w:val="24"/>
        </w:rPr>
        <w:t>本重点清单依据《危险化学品从业单位安全生产标准化评审标准》《油漆、油墨、粘合剂类危险化学品生产企业现场安全重点检查指引》</w:t>
      </w:r>
      <w:r>
        <w:rPr>
          <w:rFonts w:ascii="仿宋_GB2312" w:eastAsia="仿宋_GB2312" w:hint="eastAsia"/>
          <w:sz w:val="24"/>
        </w:rPr>
        <w:t>等</w:t>
      </w:r>
      <w:r>
        <w:rPr>
          <w:rFonts w:ascii="仿宋_GB2312" w:eastAsia="仿宋_GB2312" w:hint="eastAsia"/>
          <w:sz w:val="24"/>
        </w:rPr>
        <w:t>编制，适用于深圳市油漆、油墨、粘合剂类危险化学品生产企业</w:t>
      </w:r>
      <w:r>
        <w:rPr>
          <w:rFonts w:ascii="仿宋_GB2312" w:eastAsia="仿宋_GB2312" w:hint="eastAsia"/>
          <w:sz w:val="24"/>
        </w:rPr>
        <w:t>以及</w:t>
      </w:r>
      <w:r>
        <w:rPr>
          <w:rFonts w:ascii="仿宋_GB2312" w:eastAsia="仿宋_GB2312" w:hint="eastAsia"/>
          <w:sz w:val="24"/>
        </w:rPr>
        <w:t>毒害品、腐蚀品、易燃固体、氧化剂类等危险化学品生产企业安全生产标准化三级达标审查工作，</w:t>
      </w:r>
      <w:r>
        <w:rPr>
          <w:rFonts w:ascii="仿宋_GB2312" w:eastAsia="仿宋_GB2312" w:hint="eastAsia"/>
          <w:sz w:val="24"/>
        </w:rPr>
        <w:t>引导</w:t>
      </w:r>
      <w:r>
        <w:rPr>
          <w:rFonts w:ascii="仿宋_GB2312" w:eastAsia="仿宋_GB2312" w:hint="eastAsia"/>
          <w:sz w:val="24"/>
        </w:rPr>
        <w:t>企业重点管控现场安全风险，持续改进、自我提升</w:t>
      </w:r>
      <w:r>
        <w:rPr>
          <w:rFonts w:ascii="仿宋_GB2312" w:eastAsia="仿宋_GB2312" w:hint="eastAsia"/>
          <w:sz w:val="24"/>
        </w:rPr>
        <w:t>安全管理水平</w:t>
      </w:r>
      <w:r>
        <w:rPr>
          <w:rFonts w:ascii="仿宋_GB2312" w:eastAsia="仿宋_GB2312" w:hint="eastAsia"/>
          <w:sz w:val="24"/>
        </w:rPr>
        <w:t>。</w:t>
      </w:r>
    </w:p>
    <w:p w:rsidR="00756990" w:rsidRDefault="006B6FC3">
      <w:pPr>
        <w:pStyle w:val="a8"/>
        <w:numPr>
          <w:ilvl w:val="0"/>
          <w:numId w:val="1"/>
        </w:numPr>
        <w:tabs>
          <w:tab w:val="left" w:pos="851"/>
        </w:tabs>
        <w:spacing w:line="400" w:lineRule="exact"/>
        <w:ind w:left="839" w:firstLineChars="0" w:hanging="357"/>
        <w:rPr>
          <w:rFonts w:ascii="仿宋_GB2312" w:eastAsia="仿宋_GB2312"/>
          <w:sz w:val="24"/>
        </w:rPr>
      </w:pPr>
      <w:bookmarkStart w:id="0" w:name="_Hlk42628729"/>
      <w:r>
        <w:rPr>
          <w:rFonts w:ascii="仿宋_GB2312" w:eastAsia="仿宋_GB2312" w:hint="eastAsia"/>
          <w:sz w:val="24"/>
        </w:rPr>
        <w:t>本重点清单所列审查事项均为否决项；现场审查时，安全生产标准化三级达标企业应符合全部审查事项对应的审查内容</w:t>
      </w:r>
      <w:r>
        <w:rPr>
          <w:rFonts w:ascii="仿宋_GB2312" w:eastAsia="仿宋_GB2312" w:hint="eastAsia"/>
          <w:sz w:val="24"/>
        </w:rPr>
        <w:t>要求</w:t>
      </w:r>
      <w:r>
        <w:rPr>
          <w:rFonts w:ascii="仿宋_GB2312" w:eastAsia="仿宋_GB2312" w:hint="eastAsia"/>
          <w:sz w:val="24"/>
        </w:rPr>
        <w:t>，其中被审查企业不涉及的审查内容列为缺项，不纳入审查。</w:t>
      </w:r>
      <w:bookmarkEnd w:id="0"/>
    </w:p>
    <w:tbl>
      <w:tblPr>
        <w:tblStyle w:val="a7"/>
        <w:tblW w:w="14174" w:type="dxa"/>
        <w:tblLayout w:type="fixed"/>
        <w:tblLook w:val="04A0"/>
      </w:tblPr>
      <w:tblGrid>
        <w:gridCol w:w="705"/>
        <w:gridCol w:w="963"/>
        <w:gridCol w:w="1134"/>
        <w:gridCol w:w="8222"/>
        <w:gridCol w:w="1700"/>
        <w:gridCol w:w="1450"/>
      </w:tblGrid>
      <w:tr w:rsidR="00756990">
        <w:trPr>
          <w:trHeight w:val="20"/>
          <w:tblHeader/>
        </w:trPr>
        <w:tc>
          <w:tcPr>
            <w:tcW w:w="705" w:type="dxa"/>
            <w:vAlign w:val="center"/>
          </w:tcPr>
          <w:p w:rsidR="00756990" w:rsidRDefault="006B6FC3">
            <w:pPr>
              <w:spacing w:line="320" w:lineRule="exact"/>
              <w:jc w:val="center"/>
              <w:rPr>
                <w:rFonts w:ascii="仿宋" w:eastAsia="仿宋" w:hAnsi="仿宋" w:cs="仿宋"/>
                <w:b/>
                <w:bCs/>
                <w:sz w:val="24"/>
              </w:rPr>
            </w:pPr>
            <w:r>
              <w:rPr>
                <w:rFonts w:ascii="仿宋" w:eastAsia="仿宋" w:hAnsi="仿宋" w:cs="仿宋" w:hint="eastAsia"/>
                <w:b/>
                <w:bCs/>
                <w:sz w:val="24"/>
              </w:rPr>
              <w:t>序号</w:t>
            </w:r>
          </w:p>
        </w:tc>
        <w:tc>
          <w:tcPr>
            <w:tcW w:w="2097" w:type="dxa"/>
            <w:gridSpan w:val="2"/>
            <w:vAlign w:val="center"/>
          </w:tcPr>
          <w:p w:rsidR="00756990" w:rsidRDefault="006B6FC3">
            <w:pPr>
              <w:spacing w:line="320" w:lineRule="exact"/>
              <w:jc w:val="center"/>
              <w:rPr>
                <w:rFonts w:ascii="仿宋" w:eastAsia="仿宋" w:hAnsi="仿宋" w:cs="仿宋"/>
                <w:b/>
                <w:bCs/>
                <w:sz w:val="24"/>
              </w:rPr>
            </w:pPr>
            <w:r>
              <w:rPr>
                <w:rFonts w:ascii="仿宋" w:eastAsia="仿宋" w:hAnsi="仿宋" w:cs="仿宋" w:hint="eastAsia"/>
                <w:b/>
                <w:bCs/>
                <w:sz w:val="24"/>
              </w:rPr>
              <w:t>审查事项</w:t>
            </w:r>
          </w:p>
        </w:tc>
        <w:tc>
          <w:tcPr>
            <w:tcW w:w="8222" w:type="dxa"/>
            <w:vAlign w:val="center"/>
          </w:tcPr>
          <w:p w:rsidR="00756990" w:rsidRDefault="006B6FC3">
            <w:pPr>
              <w:spacing w:line="320" w:lineRule="exact"/>
              <w:jc w:val="center"/>
              <w:rPr>
                <w:rFonts w:ascii="仿宋" w:eastAsia="仿宋" w:hAnsi="仿宋" w:cs="仿宋"/>
                <w:b/>
                <w:bCs/>
                <w:sz w:val="24"/>
              </w:rPr>
            </w:pPr>
            <w:r>
              <w:rPr>
                <w:rFonts w:ascii="仿宋" w:eastAsia="仿宋" w:hAnsi="仿宋" w:cs="仿宋" w:hint="eastAsia"/>
                <w:b/>
                <w:bCs/>
                <w:sz w:val="24"/>
              </w:rPr>
              <w:t>审查内容</w:t>
            </w:r>
          </w:p>
        </w:tc>
        <w:tc>
          <w:tcPr>
            <w:tcW w:w="1700" w:type="dxa"/>
            <w:vAlign w:val="center"/>
          </w:tcPr>
          <w:p w:rsidR="00756990" w:rsidRDefault="006B6FC3">
            <w:pPr>
              <w:spacing w:line="320" w:lineRule="exact"/>
              <w:jc w:val="center"/>
              <w:rPr>
                <w:rFonts w:ascii="仿宋" w:eastAsia="仿宋" w:hAnsi="仿宋" w:cs="仿宋"/>
                <w:b/>
                <w:bCs/>
                <w:sz w:val="24"/>
              </w:rPr>
            </w:pPr>
            <w:r>
              <w:rPr>
                <w:rFonts w:ascii="仿宋" w:eastAsia="仿宋" w:hAnsi="仿宋" w:cs="仿宋" w:hint="eastAsia"/>
                <w:b/>
                <w:bCs/>
                <w:sz w:val="24"/>
              </w:rPr>
              <w:t>是否符合</w:t>
            </w:r>
          </w:p>
        </w:tc>
        <w:tc>
          <w:tcPr>
            <w:tcW w:w="1450" w:type="dxa"/>
          </w:tcPr>
          <w:p w:rsidR="00756990" w:rsidRDefault="006B6FC3">
            <w:pPr>
              <w:spacing w:line="320" w:lineRule="exact"/>
              <w:jc w:val="center"/>
              <w:rPr>
                <w:rFonts w:ascii="仿宋" w:eastAsia="仿宋" w:hAnsi="仿宋" w:cs="仿宋"/>
                <w:b/>
                <w:bCs/>
                <w:sz w:val="24"/>
              </w:rPr>
            </w:pPr>
            <w:r>
              <w:rPr>
                <w:rFonts w:ascii="仿宋" w:eastAsia="仿宋" w:hAnsi="仿宋" w:cs="仿宋" w:hint="eastAsia"/>
                <w:b/>
                <w:bCs/>
                <w:sz w:val="24"/>
              </w:rPr>
              <w:t>备注</w:t>
            </w:r>
          </w:p>
        </w:tc>
      </w:tr>
      <w:tr w:rsidR="00756990">
        <w:trPr>
          <w:trHeight w:val="20"/>
        </w:trPr>
        <w:tc>
          <w:tcPr>
            <w:tcW w:w="705"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1</w:t>
            </w:r>
          </w:p>
        </w:tc>
        <w:tc>
          <w:tcPr>
            <w:tcW w:w="2097" w:type="dxa"/>
            <w:gridSpan w:val="2"/>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风险辨识和分级管控</w:t>
            </w:r>
          </w:p>
        </w:tc>
        <w:tc>
          <w:tcPr>
            <w:tcW w:w="8222" w:type="dxa"/>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）企业应建立风险辨识和分级管控制度，明确组织机构、职责分工、工作程序、辨识方法、辨识频次、风险分级、风险评价、分级管控措施等要求；</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）企业应严格执行制度要求，设置岗位安全风险告知卡，至少每半年更新安全风险清单，每班交接班记录说明安全隐患情况</w:t>
            </w:r>
          </w:p>
        </w:tc>
        <w:tc>
          <w:tcPr>
            <w:tcW w:w="1700" w:type="dxa"/>
          </w:tcPr>
          <w:p w:rsidR="00756990" w:rsidRDefault="00756990">
            <w:pPr>
              <w:rPr>
                <w:rFonts w:ascii="仿宋" w:eastAsia="仿宋" w:hAnsi="仿宋" w:cs="仿宋"/>
                <w:sz w:val="24"/>
              </w:rPr>
            </w:pPr>
          </w:p>
        </w:tc>
        <w:tc>
          <w:tcPr>
            <w:tcW w:w="1450" w:type="dxa"/>
          </w:tcPr>
          <w:p w:rsidR="00756990" w:rsidRDefault="00756990">
            <w:pPr>
              <w:rPr>
                <w:rFonts w:ascii="仿宋" w:eastAsia="仿宋" w:hAnsi="仿宋" w:cs="仿宋"/>
                <w:sz w:val="24"/>
              </w:rPr>
            </w:pPr>
          </w:p>
        </w:tc>
      </w:tr>
      <w:tr w:rsidR="00756990">
        <w:trPr>
          <w:trHeight w:val="20"/>
        </w:trPr>
        <w:tc>
          <w:tcPr>
            <w:tcW w:w="705"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2</w:t>
            </w:r>
          </w:p>
        </w:tc>
        <w:tc>
          <w:tcPr>
            <w:tcW w:w="2097" w:type="dxa"/>
            <w:gridSpan w:val="2"/>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安全生产教育和培训</w:t>
            </w:r>
          </w:p>
        </w:tc>
        <w:tc>
          <w:tcPr>
            <w:tcW w:w="8222" w:type="dxa"/>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）应对新员工进行三级安全培训教育，并经考核合格后方可上岗；</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）从业人员每年应接受再培训，再培训时间不得少于</w:t>
            </w:r>
            <w:r>
              <w:rPr>
                <w:rFonts w:ascii="仿宋" w:eastAsia="仿宋" w:hAnsi="仿宋" w:cs="仿宋" w:hint="eastAsia"/>
                <w:kern w:val="0"/>
                <w:sz w:val="24"/>
              </w:rPr>
              <w:t>20</w:t>
            </w:r>
            <w:r>
              <w:rPr>
                <w:rFonts w:ascii="仿宋" w:eastAsia="仿宋" w:hAnsi="仿宋" w:cs="仿宋" w:hint="eastAsia"/>
                <w:kern w:val="0"/>
                <w:sz w:val="24"/>
              </w:rPr>
              <w:t>学时；</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）检维修前应对检维修人员进行作业前交底、安全培训教</w:t>
            </w:r>
          </w:p>
        </w:tc>
        <w:tc>
          <w:tcPr>
            <w:tcW w:w="1700" w:type="dxa"/>
          </w:tcPr>
          <w:p w:rsidR="00756990" w:rsidRDefault="00756990">
            <w:pPr>
              <w:rPr>
                <w:rFonts w:ascii="仿宋" w:eastAsia="仿宋" w:hAnsi="仿宋" w:cs="仿宋"/>
                <w:sz w:val="24"/>
              </w:rPr>
            </w:pPr>
          </w:p>
        </w:tc>
        <w:tc>
          <w:tcPr>
            <w:tcW w:w="1450" w:type="dxa"/>
          </w:tcPr>
          <w:p w:rsidR="00756990" w:rsidRDefault="00756990">
            <w:pPr>
              <w:rPr>
                <w:rFonts w:ascii="仿宋" w:eastAsia="仿宋" w:hAnsi="仿宋" w:cs="仿宋"/>
                <w:sz w:val="24"/>
              </w:rPr>
            </w:pPr>
          </w:p>
        </w:tc>
      </w:tr>
      <w:tr w:rsidR="00756990">
        <w:trPr>
          <w:trHeight w:val="20"/>
        </w:trPr>
        <w:tc>
          <w:tcPr>
            <w:tcW w:w="705" w:type="dxa"/>
            <w:vMerge w:val="restart"/>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3</w:t>
            </w:r>
          </w:p>
        </w:tc>
        <w:tc>
          <w:tcPr>
            <w:tcW w:w="963" w:type="dxa"/>
            <w:vMerge w:val="restart"/>
            <w:vAlign w:val="center"/>
          </w:tcPr>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设备</w:t>
            </w:r>
            <w:r>
              <w:rPr>
                <w:rFonts w:ascii="仿宋" w:eastAsia="仿宋" w:hAnsi="仿宋" w:cs="仿宋" w:hint="eastAsia"/>
                <w:kern w:val="0"/>
                <w:sz w:val="24"/>
                <w:lang w:val="zh-CN"/>
              </w:rPr>
              <w:t>设</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lang w:val="zh-CN"/>
              </w:rPr>
              <w:t>施及工</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lang w:val="zh-CN"/>
              </w:rPr>
              <w:lastRenderedPageBreak/>
              <w:t>艺安全</w:t>
            </w: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lastRenderedPageBreak/>
              <w:t>3.1</w:t>
            </w:r>
            <w:r>
              <w:rPr>
                <w:rFonts w:ascii="仿宋" w:eastAsia="仿宋" w:hAnsi="仿宋" w:cs="仿宋" w:hint="eastAsia"/>
                <w:kern w:val="0"/>
                <w:sz w:val="24"/>
              </w:rPr>
              <w:t>生产区</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甲类厂房应采用不散发火花的地面，地面应平整、光滑，厂房内不应设置地沟，确需设置时其盖板应严密，地沟应采取防止可燃气体在地沟积聚的</w:t>
            </w:r>
            <w:r>
              <w:rPr>
                <w:rFonts w:ascii="仿宋" w:eastAsia="仿宋" w:hAnsi="仿宋" w:cs="仿宋" w:hint="eastAsia"/>
                <w:kern w:val="0"/>
                <w:sz w:val="24"/>
              </w:rPr>
              <w:lastRenderedPageBreak/>
              <w:t>有效措施；</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厂房爆炸危险环境内分散机、研磨机、三辊机、风机、接线盒、开关盒、可燃气体浓度报警器等设备外壳均应接地；</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厂房爆炸危险环境内使用的缸、釜、桶等容器均应接地；</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）易燃液体管道应设防静电接地，当法兰的连接螺栓少于</w:t>
            </w:r>
            <w:r>
              <w:rPr>
                <w:rFonts w:ascii="仿宋" w:eastAsia="仿宋" w:hAnsi="仿宋" w:cs="仿宋" w:hint="eastAsia"/>
                <w:kern w:val="0"/>
                <w:sz w:val="24"/>
              </w:rPr>
              <w:t>5</w:t>
            </w:r>
            <w:r>
              <w:rPr>
                <w:rFonts w:ascii="仿宋" w:eastAsia="仿宋" w:hAnsi="仿宋" w:cs="仿宋" w:hint="eastAsia"/>
                <w:kern w:val="0"/>
                <w:sz w:val="24"/>
              </w:rPr>
              <w:t>根时应跨接，非金属架构上平行安装的易燃液体金属管道之间净距离小于</w:t>
            </w:r>
            <w:r>
              <w:rPr>
                <w:rFonts w:ascii="仿宋" w:eastAsia="仿宋" w:hAnsi="仿宋" w:cs="仿宋" w:hint="eastAsia"/>
                <w:kern w:val="0"/>
                <w:sz w:val="24"/>
              </w:rPr>
              <w:t>100mm</w:t>
            </w:r>
            <w:r>
              <w:rPr>
                <w:rFonts w:ascii="仿宋" w:eastAsia="仿宋" w:hAnsi="仿宋" w:cs="仿宋" w:hint="eastAsia"/>
                <w:kern w:val="0"/>
                <w:sz w:val="24"/>
              </w:rPr>
              <w:t>时，应每隔</w:t>
            </w:r>
            <w:r>
              <w:rPr>
                <w:rFonts w:ascii="仿宋" w:eastAsia="仿宋" w:hAnsi="仿宋" w:cs="仿宋" w:hint="eastAsia"/>
                <w:kern w:val="0"/>
                <w:sz w:val="24"/>
              </w:rPr>
              <w:t>20m</w:t>
            </w:r>
            <w:r>
              <w:rPr>
                <w:rFonts w:ascii="仿宋" w:eastAsia="仿宋" w:hAnsi="仿宋" w:cs="仿宋" w:hint="eastAsia"/>
                <w:kern w:val="0"/>
                <w:sz w:val="24"/>
              </w:rPr>
              <w:t>用金属线跨接；</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）厂房爆炸危险环境内所有配电线路应使用镀锌钢管配线，钢管与钢管、钢管与电气设备、钢管与钢管附件之间应采用螺纹连接，应连接紧实无松动；（</w:t>
            </w:r>
            <w:r>
              <w:rPr>
                <w:rFonts w:ascii="仿宋" w:eastAsia="仿宋" w:hAnsi="仿宋" w:cs="仿宋" w:hint="eastAsia"/>
                <w:kern w:val="0"/>
                <w:sz w:val="24"/>
              </w:rPr>
              <w:t>6</w:t>
            </w:r>
            <w:r>
              <w:rPr>
                <w:rFonts w:ascii="仿宋" w:eastAsia="仿宋" w:hAnsi="仿宋" w:cs="仿宋" w:hint="eastAsia"/>
                <w:kern w:val="0"/>
                <w:sz w:val="24"/>
              </w:rPr>
              <w:t>）在电机进线口处、钢管与电气设备直接连接有困难处，应使用防爆挠性连接管连接，防爆挠性连接管应连接紧实无松动；</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w:t>
            </w:r>
            <w:r>
              <w:rPr>
                <w:rFonts w:ascii="仿宋" w:eastAsia="仿宋" w:hAnsi="仿宋" w:cs="仿宋" w:hint="eastAsia"/>
                <w:kern w:val="0"/>
                <w:sz w:val="24"/>
              </w:rPr>
              <w:t>厂房内产生可燃气体或有毒气体的区域应设置气体浓度报警装置；</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8</w:t>
            </w:r>
            <w:r>
              <w:rPr>
                <w:rFonts w:ascii="仿宋" w:eastAsia="仿宋" w:hAnsi="仿宋" w:cs="仿宋" w:hint="eastAsia"/>
                <w:kern w:val="0"/>
                <w:sz w:val="24"/>
              </w:rPr>
              <w:t>）</w:t>
            </w:r>
            <w:r>
              <w:rPr>
                <w:rFonts w:ascii="仿宋" w:eastAsia="仿宋" w:hAnsi="仿宋" w:cs="仿宋" w:hint="eastAsia"/>
                <w:kern w:val="0"/>
                <w:sz w:val="24"/>
              </w:rPr>
              <w:t>产生爆炸性气体混合物的厂房入口处均应设置人体静电消除装置，金属管做成的扶手可作为人体消除静电装置使用；</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9</w:t>
            </w:r>
            <w:r>
              <w:rPr>
                <w:rFonts w:ascii="仿宋" w:eastAsia="仿宋" w:hAnsi="仿宋" w:cs="仿宋" w:hint="eastAsia"/>
                <w:kern w:val="0"/>
                <w:sz w:val="24"/>
              </w:rPr>
              <w:t>）</w:t>
            </w:r>
            <w:r>
              <w:rPr>
                <w:rFonts w:ascii="仿宋" w:eastAsia="仿宋" w:hAnsi="仿宋" w:cs="仿宋" w:hint="eastAsia"/>
                <w:kern w:val="0"/>
                <w:sz w:val="24"/>
              </w:rPr>
              <w:t>腐蚀类危险化学品作业区地面、墙壁应做防腐蚀、防渗漏处理，电气设备（照明灯具、通风</w:t>
            </w:r>
            <w:r>
              <w:rPr>
                <w:rFonts w:ascii="仿宋" w:eastAsia="仿宋" w:hAnsi="仿宋" w:cs="仿宋" w:hint="eastAsia"/>
                <w:kern w:val="0"/>
                <w:sz w:val="24"/>
              </w:rPr>
              <w:t>设备、电气线路、工具等）应选用防腐型；</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10</w:t>
            </w:r>
            <w:r>
              <w:rPr>
                <w:rFonts w:ascii="仿宋" w:eastAsia="仿宋" w:hAnsi="仿宋" w:cs="仿宋" w:hint="eastAsia"/>
                <w:kern w:val="0"/>
                <w:sz w:val="24"/>
              </w:rPr>
              <w:t>）</w:t>
            </w:r>
            <w:r>
              <w:rPr>
                <w:rFonts w:ascii="仿宋" w:eastAsia="仿宋" w:hAnsi="仿宋" w:cs="仿宋" w:hint="eastAsia"/>
                <w:kern w:val="0"/>
                <w:sz w:val="24"/>
              </w:rPr>
              <w:t>生产区应保持通风、干燥，远离火种、热源，防止阳光直射，地面、墙壁易于清洁，在固定方便的地方配备与化学品性质相适应的消防器材、报警装置、淋洗器、洗眼器和急救药箱</w:t>
            </w:r>
          </w:p>
        </w:tc>
        <w:tc>
          <w:tcPr>
            <w:tcW w:w="1700" w:type="dxa"/>
            <w:vMerge w:val="restart"/>
          </w:tcPr>
          <w:p w:rsidR="00756990" w:rsidRDefault="00756990">
            <w:pPr>
              <w:rPr>
                <w:rFonts w:ascii="仿宋" w:eastAsia="仿宋" w:hAnsi="仿宋" w:cs="仿宋"/>
                <w:sz w:val="24"/>
              </w:rPr>
            </w:pPr>
          </w:p>
        </w:tc>
        <w:tc>
          <w:tcPr>
            <w:tcW w:w="1450" w:type="dxa"/>
            <w:vMerge w:val="restart"/>
          </w:tcPr>
          <w:p w:rsidR="00756990" w:rsidRDefault="00756990">
            <w:pPr>
              <w:rPr>
                <w:rFonts w:ascii="仿宋" w:eastAsia="仿宋" w:hAnsi="仿宋" w:cs="仿宋"/>
                <w:sz w:val="24"/>
              </w:rPr>
            </w:pPr>
          </w:p>
        </w:tc>
      </w:tr>
      <w:tr w:rsidR="00756990">
        <w:trPr>
          <w:trHeight w:val="20"/>
        </w:trPr>
        <w:tc>
          <w:tcPr>
            <w:tcW w:w="705" w:type="dxa"/>
            <w:vMerge/>
            <w:vAlign w:val="center"/>
          </w:tcPr>
          <w:p w:rsidR="00756990" w:rsidRDefault="00756990">
            <w:pPr>
              <w:tabs>
                <w:tab w:val="left" w:pos="420"/>
              </w:tabs>
              <w:rPr>
                <w:rFonts w:ascii="仿宋" w:eastAsia="仿宋" w:hAnsi="仿宋" w:cs="仿宋"/>
                <w:kern w:val="0"/>
                <w:sz w:val="24"/>
              </w:rPr>
            </w:pPr>
          </w:p>
        </w:tc>
        <w:tc>
          <w:tcPr>
            <w:tcW w:w="963" w:type="dxa"/>
            <w:vMerge/>
            <w:vAlign w:val="center"/>
          </w:tcPr>
          <w:p w:rsidR="00756990" w:rsidRDefault="00756990">
            <w:pPr>
              <w:tabs>
                <w:tab w:val="left" w:pos="420"/>
              </w:tabs>
              <w:rPr>
                <w:rFonts w:ascii="仿宋" w:eastAsia="仿宋" w:hAnsi="仿宋" w:cs="仿宋"/>
                <w:kern w:val="0"/>
                <w:sz w:val="24"/>
              </w:rPr>
            </w:pP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3.2</w:t>
            </w:r>
            <w:r>
              <w:rPr>
                <w:rFonts w:ascii="仿宋" w:eastAsia="仿宋" w:hAnsi="仿宋" w:cs="仿宋" w:hint="eastAsia"/>
                <w:kern w:val="0"/>
                <w:sz w:val="24"/>
              </w:rPr>
              <w:t>仓储区</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仓库（储罐区）爆炸危险环境内风机、接线盒、开关盒、泵外壳、金属货架等均应接地；</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储罐区易燃液体金属管道间净距离小于</w:t>
            </w:r>
            <w:r>
              <w:rPr>
                <w:rFonts w:ascii="仿宋" w:eastAsia="仿宋" w:hAnsi="仿宋" w:cs="仿宋" w:hint="eastAsia"/>
                <w:kern w:val="0"/>
                <w:sz w:val="24"/>
              </w:rPr>
              <w:t>100mm</w:t>
            </w:r>
            <w:r>
              <w:rPr>
                <w:rFonts w:ascii="仿宋" w:eastAsia="仿宋" w:hAnsi="仿宋" w:cs="仿宋" w:hint="eastAsia"/>
                <w:kern w:val="0"/>
                <w:sz w:val="24"/>
              </w:rPr>
              <w:t>时，应每隔</w:t>
            </w:r>
            <w:r>
              <w:rPr>
                <w:rFonts w:ascii="仿宋" w:eastAsia="仿宋" w:hAnsi="仿宋" w:cs="仿宋" w:hint="eastAsia"/>
                <w:kern w:val="0"/>
                <w:sz w:val="24"/>
              </w:rPr>
              <w:t>20m</w:t>
            </w:r>
            <w:r>
              <w:rPr>
                <w:rFonts w:ascii="仿宋" w:eastAsia="仿宋" w:hAnsi="仿宋" w:cs="仿宋" w:hint="eastAsia"/>
                <w:kern w:val="0"/>
                <w:sz w:val="24"/>
              </w:rPr>
              <w:t>用金属线跨接；</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仓库（储罐区）爆炸危险环境内所有配电线路应使用镀锌钢管配线，钢管与钢管、钢管与电气设备、钢管与钢管附件之间应采用螺纹连接，应连接</w:t>
            </w:r>
            <w:r>
              <w:rPr>
                <w:rFonts w:ascii="仿宋" w:eastAsia="仿宋" w:hAnsi="仿宋" w:cs="仿宋" w:hint="eastAsia"/>
                <w:kern w:val="0"/>
                <w:sz w:val="24"/>
              </w:rPr>
              <w:lastRenderedPageBreak/>
              <w:t>紧实无松动；在电机进线口处、钢管与电气设备直接连接有困难处，应使用防爆挠性连接管连接，防爆挠性连接管应连接紧实无松动；</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仓库（储罐区）产生可燃气体或有毒气体的区域应设置气体浓度报警装置；</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kern w:val="0"/>
                <w:sz w:val="24"/>
              </w:rPr>
              <w:t>产生爆炸性气体混合物的仓库（储罐区）入口处均应设置人体静电消除装置，金属管做成的扶手可作为人体静电消除装置使用；</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w:t>
            </w:r>
            <w:r>
              <w:rPr>
                <w:rFonts w:ascii="仿宋" w:eastAsia="仿宋" w:hAnsi="仿宋" w:cs="仿宋" w:hint="eastAsia"/>
                <w:kern w:val="0"/>
                <w:sz w:val="24"/>
              </w:rPr>
              <w:t>仓库内易燃液体类商品摆放，垛高不超过</w:t>
            </w:r>
            <w:r>
              <w:rPr>
                <w:rFonts w:ascii="仿宋" w:eastAsia="仿宋" w:hAnsi="仿宋" w:cs="仿宋" w:hint="eastAsia"/>
                <w:kern w:val="0"/>
                <w:sz w:val="24"/>
              </w:rPr>
              <w:t>3m</w:t>
            </w:r>
            <w:r>
              <w:rPr>
                <w:rFonts w:ascii="仿宋" w:eastAsia="仿宋" w:hAnsi="仿宋" w:cs="仿宋" w:hint="eastAsia"/>
                <w:kern w:val="0"/>
                <w:sz w:val="24"/>
              </w:rPr>
              <w:t>，主通道大于等于</w:t>
            </w:r>
            <w:r>
              <w:rPr>
                <w:rFonts w:ascii="仿宋" w:eastAsia="仿宋" w:hAnsi="仿宋" w:cs="仿宋" w:hint="eastAsia"/>
                <w:kern w:val="0"/>
                <w:sz w:val="24"/>
              </w:rPr>
              <w:t>180cm</w:t>
            </w:r>
            <w:r>
              <w:rPr>
                <w:rFonts w:ascii="仿宋" w:eastAsia="仿宋" w:hAnsi="仿宋" w:cs="仿宋" w:hint="eastAsia"/>
                <w:kern w:val="0"/>
                <w:sz w:val="24"/>
              </w:rPr>
              <w:t>，支通道大于等于</w:t>
            </w:r>
            <w:r>
              <w:rPr>
                <w:rFonts w:ascii="仿宋" w:eastAsia="仿宋" w:hAnsi="仿宋" w:cs="仿宋" w:hint="eastAsia"/>
                <w:kern w:val="0"/>
                <w:sz w:val="24"/>
              </w:rPr>
              <w:t>80cm</w:t>
            </w:r>
            <w:r>
              <w:rPr>
                <w:rFonts w:ascii="仿宋" w:eastAsia="仿宋" w:hAnsi="仿宋" w:cs="仿宋" w:hint="eastAsia"/>
                <w:kern w:val="0"/>
                <w:sz w:val="24"/>
              </w:rPr>
              <w:t>并符合“五距”要求，柱距大于等于</w:t>
            </w:r>
            <w:r>
              <w:rPr>
                <w:rFonts w:ascii="仿宋" w:eastAsia="仿宋" w:hAnsi="仿宋" w:cs="仿宋" w:hint="eastAsia"/>
                <w:kern w:val="0"/>
                <w:sz w:val="24"/>
              </w:rPr>
              <w:t>10cm</w:t>
            </w:r>
            <w:r>
              <w:rPr>
                <w:rFonts w:ascii="仿宋" w:eastAsia="仿宋" w:hAnsi="仿宋" w:cs="仿宋" w:hint="eastAsia"/>
                <w:kern w:val="0"/>
                <w:sz w:val="24"/>
              </w:rPr>
              <w:t>；垛距大于等于</w:t>
            </w:r>
            <w:r>
              <w:rPr>
                <w:rFonts w:ascii="仿宋" w:eastAsia="仿宋" w:hAnsi="仿宋" w:cs="仿宋" w:hint="eastAsia"/>
                <w:kern w:val="0"/>
                <w:sz w:val="24"/>
              </w:rPr>
              <w:t>10cm</w:t>
            </w:r>
            <w:r>
              <w:rPr>
                <w:rFonts w:ascii="仿宋" w:eastAsia="仿宋" w:hAnsi="仿宋" w:cs="仿宋" w:hint="eastAsia"/>
                <w:kern w:val="0"/>
                <w:sz w:val="24"/>
              </w:rPr>
              <w:t>；顶距大于等于</w:t>
            </w:r>
            <w:r>
              <w:rPr>
                <w:rFonts w:ascii="仿宋" w:eastAsia="仿宋" w:hAnsi="仿宋" w:cs="仿宋" w:hint="eastAsia"/>
                <w:kern w:val="0"/>
                <w:sz w:val="24"/>
              </w:rPr>
              <w:t>50cm</w:t>
            </w:r>
            <w:r>
              <w:rPr>
                <w:rFonts w:ascii="仿宋" w:eastAsia="仿宋" w:hAnsi="仿宋" w:cs="仿宋" w:hint="eastAsia"/>
                <w:kern w:val="0"/>
                <w:sz w:val="24"/>
              </w:rPr>
              <w:t>；墙距大于等于</w:t>
            </w:r>
            <w:r>
              <w:rPr>
                <w:rFonts w:ascii="仿宋" w:eastAsia="仿宋" w:hAnsi="仿宋" w:cs="仿宋" w:hint="eastAsia"/>
                <w:kern w:val="0"/>
                <w:sz w:val="24"/>
              </w:rPr>
              <w:t>30cm</w:t>
            </w:r>
            <w:r>
              <w:rPr>
                <w:rFonts w:ascii="仿宋" w:eastAsia="仿宋" w:hAnsi="仿宋" w:cs="仿宋" w:hint="eastAsia"/>
                <w:kern w:val="0"/>
                <w:sz w:val="24"/>
              </w:rPr>
              <w:t>；灯具大于等于</w:t>
            </w:r>
            <w:r>
              <w:rPr>
                <w:rFonts w:ascii="仿宋" w:eastAsia="仿宋" w:hAnsi="仿宋" w:cs="仿宋" w:hint="eastAsia"/>
                <w:kern w:val="0"/>
                <w:sz w:val="24"/>
              </w:rPr>
              <w:t>50cm</w:t>
            </w:r>
            <w:r>
              <w:rPr>
                <w:rFonts w:ascii="仿宋" w:eastAsia="仿宋" w:hAnsi="仿宋" w:cs="仿宋" w:hint="eastAsia"/>
                <w:kern w:val="0"/>
                <w:sz w:val="24"/>
              </w:rPr>
              <w:t>；</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w:t>
            </w:r>
            <w:r>
              <w:rPr>
                <w:rFonts w:ascii="仿宋" w:eastAsia="仿宋" w:hAnsi="仿宋" w:cs="仿宋" w:hint="eastAsia"/>
                <w:kern w:val="0"/>
                <w:sz w:val="24"/>
              </w:rPr>
              <w:t>易燃液体或</w:t>
            </w:r>
            <w:r w:rsidR="00E65D8A">
              <w:rPr>
                <w:rFonts w:ascii="仿宋" w:eastAsia="仿宋" w:hAnsi="仿宋" w:cs="仿宋" w:hint="eastAsia"/>
                <w:kern w:val="0"/>
                <w:sz w:val="24"/>
              </w:rPr>
              <w:t>腐蚀性液体仓库应设置防止液体流散的设施，防止液体流散的设施可为漫</w:t>
            </w:r>
            <w:r>
              <w:rPr>
                <w:rFonts w:ascii="仿宋" w:eastAsia="仿宋" w:hAnsi="仿宋" w:cs="仿宋" w:hint="eastAsia"/>
                <w:kern w:val="0"/>
                <w:sz w:val="24"/>
              </w:rPr>
              <w:t>坡（高度为</w:t>
            </w:r>
            <w:r>
              <w:rPr>
                <w:rFonts w:ascii="仿宋" w:eastAsia="仿宋" w:hAnsi="仿宋" w:cs="仿宋" w:hint="eastAsia"/>
                <w:kern w:val="0"/>
                <w:sz w:val="24"/>
              </w:rPr>
              <w:t>150-300mm</w:t>
            </w:r>
            <w:r>
              <w:rPr>
                <w:rFonts w:ascii="仿宋" w:eastAsia="仿宋" w:hAnsi="仿宋" w:cs="仿宋" w:hint="eastAsia"/>
                <w:kern w:val="0"/>
                <w:sz w:val="24"/>
              </w:rPr>
              <w:t>）、托盘、围堰等；</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8</w:t>
            </w:r>
            <w:r>
              <w:rPr>
                <w:rFonts w:ascii="仿宋" w:eastAsia="仿宋" w:hAnsi="仿宋" w:cs="仿宋" w:hint="eastAsia"/>
                <w:kern w:val="0"/>
                <w:sz w:val="24"/>
              </w:rPr>
              <w:t>）</w:t>
            </w:r>
            <w:r>
              <w:rPr>
                <w:rFonts w:ascii="仿宋" w:eastAsia="仿宋" w:hAnsi="仿宋" w:cs="仿宋" w:hint="eastAsia"/>
                <w:kern w:val="0"/>
                <w:sz w:val="24"/>
              </w:rPr>
              <w:t>危险化学品仓库内禁忌类物料不得混放，并严禁分装、改装、开箱、开桶、验收等；</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9</w:t>
            </w:r>
            <w:r>
              <w:rPr>
                <w:rFonts w:ascii="仿宋" w:eastAsia="仿宋" w:hAnsi="仿宋" w:cs="仿宋" w:hint="eastAsia"/>
                <w:kern w:val="0"/>
                <w:sz w:val="24"/>
              </w:rPr>
              <w:t>）</w:t>
            </w:r>
            <w:r>
              <w:rPr>
                <w:rFonts w:ascii="仿宋" w:eastAsia="仿宋" w:hAnsi="仿宋" w:cs="仿宋" w:hint="eastAsia"/>
                <w:kern w:val="0"/>
                <w:sz w:val="24"/>
              </w:rPr>
              <w:t>货架、货物及工具不应遮挡消火栓、自动喷淋系统、排风口，应保证消防通道畅通；</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10</w:t>
            </w:r>
            <w:r>
              <w:rPr>
                <w:rFonts w:ascii="仿宋" w:eastAsia="仿宋" w:hAnsi="仿宋" w:cs="仿宋" w:hint="eastAsia"/>
                <w:kern w:val="0"/>
                <w:sz w:val="24"/>
              </w:rPr>
              <w:t>）</w:t>
            </w:r>
            <w:r>
              <w:rPr>
                <w:rFonts w:ascii="仿宋" w:eastAsia="仿宋" w:hAnsi="仿宋" w:cs="仿宋" w:hint="eastAsia"/>
                <w:kern w:val="0"/>
                <w:sz w:val="24"/>
              </w:rPr>
              <w:t>腐蚀类危险化学品仓库（储罐区）墙体、地面应进行防腐蚀、防渗漏处理，电气设备（照明灯具、通风设备、电气线路、工具等）应选用防腐型；</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11</w:t>
            </w:r>
            <w:r>
              <w:rPr>
                <w:rFonts w:ascii="仿宋" w:eastAsia="仿宋" w:hAnsi="仿宋" w:cs="仿宋" w:hint="eastAsia"/>
                <w:kern w:val="0"/>
                <w:sz w:val="24"/>
              </w:rPr>
              <w:t>）</w:t>
            </w:r>
            <w:r>
              <w:rPr>
                <w:rFonts w:ascii="仿宋" w:eastAsia="仿宋" w:hAnsi="仿宋" w:cs="仿宋" w:hint="eastAsia"/>
                <w:kern w:val="0"/>
                <w:sz w:val="24"/>
              </w:rPr>
              <w:t>剧毒类危险化学品仓库应设置防潮、防盗、通风、温湿度监测设施和入侵报警系统；在固定方便的地方配备与剧毒品性质适应的消防器材、报警装置和急救药箱；</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12</w:t>
            </w:r>
            <w:r>
              <w:rPr>
                <w:rFonts w:ascii="仿宋" w:eastAsia="仿宋" w:hAnsi="仿宋" w:cs="仿宋" w:hint="eastAsia"/>
                <w:kern w:val="0"/>
                <w:sz w:val="24"/>
              </w:rPr>
              <w:t>）</w:t>
            </w:r>
            <w:r>
              <w:rPr>
                <w:rFonts w:ascii="仿宋" w:eastAsia="仿宋" w:hAnsi="仿宋" w:cs="仿宋" w:hint="eastAsia"/>
                <w:kern w:val="0"/>
                <w:sz w:val="24"/>
              </w:rPr>
              <w:t>有毒性危害或有化学灼伤危险的危险化学品仓库应设置有效的淋洗器、洗眼器等安全防护设施</w:t>
            </w:r>
          </w:p>
        </w:tc>
        <w:tc>
          <w:tcPr>
            <w:tcW w:w="1700" w:type="dxa"/>
            <w:vMerge/>
          </w:tcPr>
          <w:p w:rsidR="00756990" w:rsidRDefault="00756990">
            <w:pPr>
              <w:rPr>
                <w:rFonts w:ascii="仿宋" w:eastAsia="仿宋" w:hAnsi="仿宋" w:cs="仿宋"/>
                <w:sz w:val="24"/>
              </w:rPr>
            </w:pPr>
          </w:p>
        </w:tc>
        <w:tc>
          <w:tcPr>
            <w:tcW w:w="1450" w:type="dxa"/>
            <w:vMerge/>
          </w:tcPr>
          <w:p w:rsidR="00756990" w:rsidRDefault="00756990">
            <w:pPr>
              <w:rPr>
                <w:rFonts w:ascii="仿宋" w:eastAsia="仿宋" w:hAnsi="仿宋" w:cs="仿宋"/>
                <w:sz w:val="24"/>
              </w:rPr>
            </w:pPr>
          </w:p>
        </w:tc>
      </w:tr>
      <w:tr w:rsidR="00756990">
        <w:trPr>
          <w:trHeight w:val="20"/>
        </w:trPr>
        <w:tc>
          <w:tcPr>
            <w:tcW w:w="705"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lastRenderedPageBreak/>
              <w:t>3</w:t>
            </w:r>
          </w:p>
        </w:tc>
        <w:tc>
          <w:tcPr>
            <w:tcW w:w="963" w:type="dxa"/>
            <w:vAlign w:val="center"/>
          </w:tcPr>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设备</w:t>
            </w:r>
            <w:r>
              <w:rPr>
                <w:rFonts w:ascii="仿宋" w:eastAsia="仿宋" w:hAnsi="仿宋" w:cs="仿宋" w:hint="eastAsia"/>
                <w:kern w:val="0"/>
                <w:sz w:val="24"/>
                <w:lang w:val="zh-CN"/>
              </w:rPr>
              <w:t>设</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lang w:val="zh-CN"/>
              </w:rPr>
              <w:t>施及工</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lang w:val="zh-CN"/>
              </w:rPr>
              <w:t>艺安全</w:t>
            </w: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3.3</w:t>
            </w:r>
            <w:r>
              <w:rPr>
                <w:rFonts w:ascii="仿宋" w:eastAsia="仿宋" w:hAnsi="仿宋" w:cs="仿宋" w:hint="eastAsia"/>
                <w:kern w:val="0"/>
                <w:sz w:val="24"/>
              </w:rPr>
              <w:t>辅助服务区</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）洗桶区、打样室爆炸危险环境内电气设备外壳均应接地；</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）洗桶区、打样室爆炸危险环境内使用的缸、釜、桶等容器均应接地；</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）洗桶区、打样室爆炸危险环境内所有配电线路应使用镀锌钢管配线，钢</w:t>
            </w:r>
            <w:r>
              <w:rPr>
                <w:rFonts w:ascii="仿宋" w:eastAsia="仿宋" w:hAnsi="仿宋" w:cs="仿宋" w:hint="eastAsia"/>
                <w:kern w:val="0"/>
                <w:sz w:val="24"/>
              </w:rPr>
              <w:lastRenderedPageBreak/>
              <w:t>管与钢管、钢管与电气设备、钢管与钢管附件之间应采用螺纹连接，应连接紧实无松动；在电机进线口处、钢管与电气设备直接连接有困难处，应使用防爆挠性连接管连接，防爆挠性连接管应连接紧实无松动；</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）独立设置的洗桶区、打样室爆炸危险环境内应设置可燃气体浓度报警装置；入口处均应设置人体静电消除装置，金属管做成的扶手可作为人体消除静电装置使用；</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）腐蚀品类危险化学品洗桶区地面及墙壁</w:t>
            </w:r>
            <w:r>
              <w:rPr>
                <w:rFonts w:ascii="仿宋" w:eastAsia="仿宋" w:hAnsi="仿宋" w:cs="仿宋" w:hint="eastAsia"/>
                <w:kern w:val="0"/>
                <w:sz w:val="24"/>
              </w:rPr>
              <w:t>应做防腐蚀、防渗漏处理；</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）空压机房气体储罐安全阀、压力表应定期校验；</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）烤箱金属外壳应有保护接地</w:t>
            </w:r>
          </w:p>
        </w:tc>
        <w:tc>
          <w:tcPr>
            <w:tcW w:w="1700" w:type="dxa"/>
            <w:vMerge/>
          </w:tcPr>
          <w:p w:rsidR="00756990" w:rsidRDefault="00756990">
            <w:pPr>
              <w:rPr>
                <w:rFonts w:ascii="仿宋" w:eastAsia="仿宋" w:hAnsi="仿宋" w:cs="仿宋"/>
                <w:sz w:val="24"/>
              </w:rPr>
            </w:pPr>
          </w:p>
        </w:tc>
        <w:tc>
          <w:tcPr>
            <w:tcW w:w="1450" w:type="dxa"/>
            <w:vMerge/>
          </w:tcPr>
          <w:p w:rsidR="00756990" w:rsidRDefault="00756990">
            <w:pPr>
              <w:rPr>
                <w:rFonts w:ascii="仿宋" w:eastAsia="仿宋" w:hAnsi="仿宋" w:cs="仿宋"/>
                <w:sz w:val="24"/>
              </w:rPr>
            </w:pPr>
          </w:p>
        </w:tc>
      </w:tr>
      <w:tr w:rsidR="00756990">
        <w:trPr>
          <w:trHeight w:val="20"/>
        </w:trPr>
        <w:tc>
          <w:tcPr>
            <w:tcW w:w="705" w:type="dxa"/>
            <w:vMerge w:val="restart"/>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lastRenderedPageBreak/>
              <w:t>4</w:t>
            </w:r>
          </w:p>
        </w:tc>
        <w:tc>
          <w:tcPr>
            <w:tcW w:w="963" w:type="dxa"/>
            <w:vMerge w:val="restart"/>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作业安全</w:t>
            </w: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4.1</w:t>
            </w:r>
            <w:r>
              <w:rPr>
                <w:rFonts w:ascii="仿宋" w:eastAsia="仿宋" w:hAnsi="仿宋" w:cs="仿宋" w:hint="eastAsia"/>
                <w:kern w:val="0"/>
                <w:sz w:val="24"/>
              </w:rPr>
              <w:t>特殊作业</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动火作业、进入受限空间作业、破土作业、临时用电作业、高处作业、吊装作业等特殊作业应实施作业许可管理，严格履行审批手续，应由主要负责人审批；</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bookmarkStart w:id="1" w:name="_GoBack"/>
            <w:bookmarkEnd w:id="1"/>
            <w:r>
              <w:rPr>
                <w:rFonts w:ascii="仿宋" w:eastAsia="仿宋" w:hAnsi="仿宋" w:cs="仿宋" w:hint="eastAsia"/>
                <w:kern w:val="0"/>
                <w:sz w:val="24"/>
              </w:rPr>
              <w:t>）</w:t>
            </w:r>
            <w:r>
              <w:rPr>
                <w:rFonts w:ascii="仿宋" w:eastAsia="仿宋" w:hAnsi="仿宋" w:cs="仿宋" w:hint="eastAsia"/>
                <w:kern w:val="0"/>
                <w:sz w:val="24"/>
              </w:rPr>
              <w:t>特殊作业现场设置公示牌，内容至少包含施工方案、技术交底、培训记录、作业票，外来施工还应增加进厂审批手续；</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）特殊作业现场配备相应安全防护用品（具）、消防设施及器材；</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）特殊作业监护人员应与作业票签名人员一致，按要求进行现场监护，不得随意离开监护岗位</w:t>
            </w:r>
          </w:p>
        </w:tc>
        <w:tc>
          <w:tcPr>
            <w:tcW w:w="1700" w:type="dxa"/>
          </w:tcPr>
          <w:p w:rsidR="00756990" w:rsidRDefault="00756990">
            <w:pPr>
              <w:rPr>
                <w:rFonts w:ascii="仿宋" w:eastAsia="仿宋" w:hAnsi="仿宋" w:cs="仿宋"/>
                <w:sz w:val="24"/>
              </w:rPr>
            </w:pPr>
          </w:p>
        </w:tc>
        <w:tc>
          <w:tcPr>
            <w:tcW w:w="1450" w:type="dxa"/>
          </w:tcPr>
          <w:p w:rsidR="00756990" w:rsidRDefault="00756990">
            <w:pPr>
              <w:rPr>
                <w:rFonts w:ascii="仿宋" w:eastAsia="仿宋" w:hAnsi="仿宋" w:cs="仿宋"/>
                <w:sz w:val="24"/>
              </w:rPr>
            </w:pPr>
          </w:p>
        </w:tc>
      </w:tr>
      <w:tr w:rsidR="00756990">
        <w:trPr>
          <w:trHeight w:val="20"/>
        </w:trPr>
        <w:tc>
          <w:tcPr>
            <w:tcW w:w="705" w:type="dxa"/>
            <w:vMerge/>
            <w:vAlign w:val="center"/>
          </w:tcPr>
          <w:p w:rsidR="00756990" w:rsidRDefault="00756990">
            <w:pPr>
              <w:tabs>
                <w:tab w:val="left" w:pos="420"/>
              </w:tabs>
              <w:rPr>
                <w:rFonts w:ascii="仿宋" w:eastAsia="仿宋" w:hAnsi="仿宋" w:cs="仿宋"/>
                <w:kern w:val="0"/>
                <w:sz w:val="24"/>
              </w:rPr>
            </w:pPr>
          </w:p>
        </w:tc>
        <w:tc>
          <w:tcPr>
            <w:tcW w:w="963" w:type="dxa"/>
            <w:vMerge/>
            <w:vAlign w:val="center"/>
          </w:tcPr>
          <w:p w:rsidR="00756990" w:rsidRDefault="00756990">
            <w:pPr>
              <w:tabs>
                <w:tab w:val="left" w:pos="420"/>
              </w:tabs>
              <w:rPr>
                <w:rFonts w:ascii="仿宋" w:eastAsia="仿宋" w:hAnsi="仿宋" w:cs="仿宋"/>
                <w:kern w:val="0"/>
                <w:sz w:val="24"/>
              </w:rPr>
            </w:pP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4.2</w:t>
            </w:r>
            <w:r>
              <w:rPr>
                <w:rFonts w:ascii="仿宋" w:eastAsia="仿宋" w:hAnsi="仿宋" w:cs="仿宋" w:hint="eastAsia"/>
                <w:kern w:val="0"/>
                <w:sz w:val="24"/>
              </w:rPr>
              <w:t>生产作业</w:t>
            </w:r>
          </w:p>
        </w:tc>
        <w:tc>
          <w:tcPr>
            <w:tcW w:w="8222" w:type="dxa"/>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）机动车辆一般不应进入生产区，当需进入时机动车应配装阻火器、灭火器或采取其他有效安全措施；</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）涉及易燃液体作业时需穿防静电工作服，不得使用能产生火花的工具；</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）使用可移动的缸、釜、桶等容器进行搅拌、分装时应接好静电夹；</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）盛放各类溶剂原料的容器应加盖封闭存放，应及时清理作业现场的废物、油迹、漆垢，保持环境整洁卫生；</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）从事腐蚀类危险化学品作业的人员，应佩戴护目镜及耐酸碱防护服、手套、鞋等劳动防护用品；</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6</w:t>
            </w:r>
            <w:r>
              <w:rPr>
                <w:rFonts w:ascii="仿宋" w:eastAsia="仿宋" w:hAnsi="仿宋" w:cs="仿宋" w:hint="eastAsia"/>
                <w:kern w:val="0"/>
                <w:sz w:val="24"/>
              </w:rPr>
              <w:t>）从事剧毒类危险化学品作业的人员，应佩戴防毒口罩、防护手套等劳动防护用品</w:t>
            </w:r>
          </w:p>
        </w:tc>
        <w:tc>
          <w:tcPr>
            <w:tcW w:w="1700" w:type="dxa"/>
          </w:tcPr>
          <w:p w:rsidR="00756990" w:rsidRDefault="00756990">
            <w:pPr>
              <w:rPr>
                <w:rFonts w:ascii="仿宋" w:eastAsia="仿宋" w:hAnsi="仿宋" w:cs="仿宋"/>
                <w:sz w:val="24"/>
              </w:rPr>
            </w:pPr>
          </w:p>
        </w:tc>
        <w:tc>
          <w:tcPr>
            <w:tcW w:w="1450" w:type="dxa"/>
          </w:tcPr>
          <w:p w:rsidR="00756990" w:rsidRDefault="00756990">
            <w:pPr>
              <w:rPr>
                <w:rFonts w:ascii="仿宋" w:eastAsia="仿宋" w:hAnsi="仿宋" w:cs="仿宋"/>
                <w:sz w:val="24"/>
              </w:rPr>
            </w:pPr>
          </w:p>
        </w:tc>
      </w:tr>
      <w:tr w:rsidR="00756990">
        <w:trPr>
          <w:trHeight w:val="20"/>
        </w:trPr>
        <w:tc>
          <w:tcPr>
            <w:tcW w:w="705"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lastRenderedPageBreak/>
              <w:t>5</w:t>
            </w:r>
          </w:p>
        </w:tc>
        <w:tc>
          <w:tcPr>
            <w:tcW w:w="2097" w:type="dxa"/>
            <w:gridSpan w:val="2"/>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危险化学品管理</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）企业应对所有危险化学品，包括产品、原料和中间产品进行普查，建立危险化学品档案，档案内容至少包括：危险化学品名称及存放、生产、使用地点，数量、危险性分类；</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）危险化学品生产单位应提供与危险化学品相符的化学品安全技术说明书，并在包装（包括外包装件）上应粘贴或者拴挂与包装内危险化学品相符的化学品安全标签</w:t>
            </w:r>
          </w:p>
        </w:tc>
        <w:tc>
          <w:tcPr>
            <w:tcW w:w="1700" w:type="dxa"/>
          </w:tcPr>
          <w:p w:rsidR="00756990" w:rsidRDefault="00756990">
            <w:pPr>
              <w:rPr>
                <w:rFonts w:ascii="仿宋" w:eastAsia="仿宋" w:hAnsi="仿宋" w:cs="仿宋"/>
                <w:sz w:val="24"/>
              </w:rPr>
            </w:pPr>
          </w:p>
        </w:tc>
        <w:tc>
          <w:tcPr>
            <w:tcW w:w="1450" w:type="dxa"/>
          </w:tcPr>
          <w:p w:rsidR="00756990" w:rsidRDefault="00756990">
            <w:pPr>
              <w:rPr>
                <w:rFonts w:ascii="仿宋" w:eastAsia="仿宋" w:hAnsi="仿宋" w:cs="仿宋"/>
                <w:sz w:val="24"/>
              </w:rPr>
            </w:pPr>
          </w:p>
        </w:tc>
      </w:tr>
      <w:tr w:rsidR="00756990">
        <w:trPr>
          <w:trHeight w:val="20"/>
        </w:trPr>
        <w:tc>
          <w:tcPr>
            <w:tcW w:w="705" w:type="dxa"/>
            <w:vMerge w:val="restart"/>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6</w:t>
            </w:r>
          </w:p>
        </w:tc>
        <w:tc>
          <w:tcPr>
            <w:tcW w:w="963" w:type="dxa"/>
            <w:vMerge w:val="restart"/>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应急救援</w:t>
            </w: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6.1</w:t>
            </w:r>
            <w:r>
              <w:rPr>
                <w:rFonts w:ascii="仿宋" w:eastAsia="仿宋" w:hAnsi="仿宋" w:cs="仿宋" w:hint="eastAsia"/>
                <w:kern w:val="0"/>
                <w:sz w:val="24"/>
              </w:rPr>
              <w:t>应急救援物资配备</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）厂区各场所应按照《建筑灭火器配置设计规范》（</w:t>
            </w:r>
            <w:r>
              <w:rPr>
                <w:rFonts w:ascii="仿宋" w:eastAsia="仿宋" w:hAnsi="仿宋" w:cs="仿宋" w:hint="eastAsia"/>
                <w:kern w:val="0"/>
                <w:sz w:val="24"/>
              </w:rPr>
              <w:t>GB50140-2005</w:t>
            </w:r>
            <w:r>
              <w:rPr>
                <w:rFonts w:ascii="仿宋" w:eastAsia="仿宋" w:hAnsi="仿宋" w:cs="仿宋" w:hint="eastAsia"/>
                <w:kern w:val="0"/>
                <w:sz w:val="24"/>
              </w:rPr>
              <w:t>）的要求配备相应灭火器；</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）厂区应设置室外消火栓系统，建筑占地面积大于</w:t>
            </w:r>
            <w:r>
              <w:rPr>
                <w:rFonts w:ascii="仿宋" w:eastAsia="仿宋" w:hAnsi="仿宋" w:cs="仿宋" w:hint="eastAsia"/>
                <w:kern w:val="0"/>
                <w:sz w:val="24"/>
              </w:rPr>
              <w:t>300m2</w:t>
            </w:r>
            <w:r>
              <w:rPr>
                <w:rFonts w:ascii="仿宋" w:eastAsia="仿宋" w:hAnsi="仿宋" w:cs="仿宋" w:hint="eastAsia"/>
                <w:kern w:val="0"/>
                <w:sz w:val="24"/>
              </w:rPr>
              <w:t>的厂房和仓库应设置室内消火栓系统；</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）在危险化学品单位作业现场，应急救援物资应放在应急救援器材专用柜或指定地点。应急物资至少按以下要求配备：正压式空气呼吸器</w:t>
            </w:r>
            <w:r>
              <w:rPr>
                <w:rFonts w:ascii="仿宋" w:eastAsia="仿宋" w:hAnsi="仿宋" w:cs="仿宋" w:hint="eastAsia"/>
                <w:kern w:val="0"/>
                <w:sz w:val="24"/>
              </w:rPr>
              <w:t>2</w:t>
            </w:r>
            <w:r>
              <w:rPr>
                <w:rFonts w:ascii="仿宋" w:eastAsia="仿宋" w:hAnsi="仿宋" w:cs="仿宋" w:hint="eastAsia"/>
                <w:kern w:val="0"/>
                <w:sz w:val="24"/>
              </w:rPr>
              <w:t>套、轻型防化服</w:t>
            </w:r>
            <w:r>
              <w:rPr>
                <w:rFonts w:ascii="仿宋" w:eastAsia="仿宋" w:hAnsi="仿宋" w:cs="仿宋" w:hint="eastAsia"/>
                <w:kern w:val="0"/>
                <w:sz w:val="24"/>
              </w:rPr>
              <w:t>2</w:t>
            </w:r>
            <w:r>
              <w:rPr>
                <w:rFonts w:ascii="仿宋" w:eastAsia="仿宋" w:hAnsi="仿宋" w:cs="仿宋" w:hint="eastAsia"/>
                <w:kern w:val="0"/>
                <w:sz w:val="24"/>
              </w:rPr>
              <w:t>套、</w:t>
            </w:r>
            <w:r>
              <w:rPr>
                <w:rFonts w:ascii="仿宋" w:eastAsia="仿宋" w:hAnsi="仿宋" w:cs="仿宋" w:hint="eastAsia"/>
                <w:kern w:val="0"/>
                <w:sz w:val="24"/>
              </w:rPr>
              <w:t>A</w:t>
            </w:r>
            <w:r>
              <w:rPr>
                <w:rFonts w:ascii="仿宋" w:eastAsia="仿宋" w:hAnsi="仿宋" w:cs="仿宋" w:hint="eastAsia"/>
                <w:kern w:val="0"/>
                <w:sz w:val="24"/>
              </w:rPr>
              <w:t>型褐色过滤式防毒面具每人</w:t>
            </w:r>
            <w:r>
              <w:rPr>
                <w:rFonts w:ascii="仿宋" w:eastAsia="仿宋" w:hAnsi="仿宋" w:cs="仿宋" w:hint="eastAsia"/>
                <w:kern w:val="0"/>
                <w:sz w:val="24"/>
              </w:rPr>
              <w:t>1</w:t>
            </w:r>
            <w:r>
              <w:rPr>
                <w:rFonts w:ascii="仿宋" w:eastAsia="仿宋" w:hAnsi="仿宋" w:cs="仿宋" w:hint="eastAsia"/>
                <w:kern w:val="0"/>
                <w:sz w:val="24"/>
              </w:rPr>
              <w:t>具、手电筒（易燃易爆场所须配防爆型）当班人员每人</w:t>
            </w:r>
            <w:r>
              <w:rPr>
                <w:rFonts w:ascii="仿宋" w:eastAsia="仿宋" w:hAnsi="仿宋" w:cs="仿宋" w:hint="eastAsia"/>
                <w:kern w:val="0"/>
                <w:sz w:val="24"/>
              </w:rPr>
              <w:t>1</w:t>
            </w:r>
            <w:r>
              <w:rPr>
                <w:rFonts w:ascii="仿宋" w:eastAsia="仿宋" w:hAnsi="仿宋" w:cs="仿宋" w:hint="eastAsia"/>
                <w:kern w:val="0"/>
                <w:sz w:val="24"/>
              </w:rPr>
              <w:t>个、对讲机（易燃易爆场所须配防爆型）</w:t>
            </w:r>
            <w:r>
              <w:rPr>
                <w:rFonts w:ascii="仿宋" w:eastAsia="仿宋" w:hAnsi="仿宋" w:cs="仿宋" w:hint="eastAsia"/>
                <w:kern w:val="0"/>
                <w:sz w:val="24"/>
              </w:rPr>
              <w:t>2</w:t>
            </w:r>
            <w:r>
              <w:rPr>
                <w:rFonts w:ascii="仿宋" w:eastAsia="仿宋" w:hAnsi="仿宋" w:cs="仿宋" w:hint="eastAsia"/>
                <w:kern w:val="0"/>
                <w:sz w:val="24"/>
              </w:rPr>
              <w:t>个、急救包</w:t>
            </w:r>
            <w:r>
              <w:rPr>
                <w:rFonts w:ascii="仿宋" w:eastAsia="仿宋" w:hAnsi="仿宋" w:cs="仿宋" w:hint="eastAsia"/>
                <w:kern w:val="0"/>
                <w:sz w:val="24"/>
              </w:rPr>
              <w:t>1</w:t>
            </w:r>
            <w:r>
              <w:rPr>
                <w:rFonts w:ascii="仿宋" w:eastAsia="仿宋" w:hAnsi="仿宋" w:cs="仿宋" w:hint="eastAsia"/>
                <w:kern w:val="0"/>
                <w:sz w:val="24"/>
              </w:rPr>
              <w:t>个；</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）可能接触腐蚀类、毒害品类危险化学品的场所应设置冲淋洗眼器；</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）可能接触剧毒类危险化学品的场所应配备解毒剂等应急物资</w:t>
            </w:r>
          </w:p>
        </w:tc>
        <w:tc>
          <w:tcPr>
            <w:tcW w:w="1700" w:type="dxa"/>
            <w:vMerge w:val="restart"/>
          </w:tcPr>
          <w:p w:rsidR="00756990" w:rsidRDefault="00756990">
            <w:pPr>
              <w:rPr>
                <w:rFonts w:ascii="仿宋" w:eastAsia="仿宋" w:hAnsi="仿宋" w:cs="仿宋"/>
                <w:sz w:val="24"/>
              </w:rPr>
            </w:pPr>
          </w:p>
        </w:tc>
        <w:tc>
          <w:tcPr>
            <w:tcW w:w="1450" w:type="dxa"/>
            <w:vMerge w:val="restart"/>
          </w:tcPr>
          <w:p w:rsidR="00756990" w:rsidRDefault="00756990">
            <w:pPr>
              <w:rPr>
                <w:rFonts w:ascii="仿宋" w:eastAsia="仿宋" w:hAnsi="仿宋" w:cs="仿宋"/>
                <w:sz w:val="24"/>
              </w:rPr>
            </w:pPr>
          </w:p>
        </w:tc>
      </w:tr>
      <w:tr w:rsidR="00756990">
        <w:trPr>
          <w:trHeight w:val="20"/>
        </w:trPr>
        <w:tc>
          <w:tcPr>
            <w:tcW w:w="705" w:type="dxa"/>
            <w:vMerge/>
            <w:vAlign w:val="center"/>
          </w:tcPr>
          <w:p w:rsidR="00756990" w:rsidRDefault="00756990">
            <w:pPr>
              <w:tabs>
                <w:tab w:val="left" w:pos="420"/>
              </w:tabs>
              <w:rPr>
                <w:rFonts w:ascii="仿宋" w:eastAsia="仿宋" w:hAnsi="仿宋" w:cs="仿宋"/>
                <w:kern w:val="0"/>
                <w:sz w:val="24"/>
              </w:rPr>
            </w:pPr>
          </w:p>
        </w:tc>
        <w:tc>
          <w:tcPr>
            <w:tcW w:w="963" w:type="dxa"/>
            <w:vMerge/>
            <w:vAlign w:val="center"/>
          </w:tcPr>
          <w:p w:rsidR="00756990" w:rsidRDefault="00756990">
            <w:pPr>
              <w:tabs>
                <w:tab w:val="left" w:pos="420"/>
              </w:tabs>
              <w:rPr>
                <w:rFonts w:ascii="仿宋" w:eastAsia="仿宋" w:hAnsi="仿宋" w:cs="仿宋"/>
                <w:kern w:val="0"/>
                <w:sz w:val="24"/>
              </w:rPr>
            </w:pPr>
          </w:p>
        </w:tc>
        <w:tc>
          <w:tcPr>
            <w:tcW w:w="1134"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6.2</w:t>
            </w:r>
            <w:r>
              <w:rPr>
                <w:rFonts w:ascii="仿宋" w:eastAsia="仿宋" w:hAnsi="仿宋" w:cs="仿宋" w:hint="eastAsia"/>
                <w:kern w:val="0"/>
                <w:sz w:val="24"/>
              </w:rPr>
              <w:t>应急预案及演练</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每年至少组织一次综合应急预案演练或者专项应急预案演练，每半年至少组织一次现场处置方案演练</w:t>
            </w:r>
          </w:p>
        </w:tc>
        <w:tc>
          <w:tcPr>
            <w:tcW w:w="1700" w:type="dxa"/>
            <w:vMerge/>
          </w:tcPr>
          <w:p w:rsidR="00756990" w:rsidRDefault="00756990">
            <w:pPr>
              <w:spacing w:line="320" w:lineRule="exact"/>
              <w:rPr>
                <w:rFonts w:ascii="仿宋" w:eastAsia="仿宋" w:hAnsi="仿宋" w:cs="仿宋"/>
                <w:kern w:val="0"/>
                <w:sz w:val="24"/>
              </w:rPr>
            </w:pPr>
          </w:p>
        </w:tc>
        <w:tc>
          <w:tcPr>
            <w:tcW w:w="1450" w:type="dxa"/>
            <w:vMerge/>
          </w:tcPr>
          <w:p w:rsidR="00756990" w:rsidRDefault="00756990">
            <w:pPr>
              <w:spacing w:line="320" w:lineRule="exact"/>
              <w:rPr>
                <w:rFonts w:ascii="仿宋" w:eastAsia="仿宋" w:hAnsi="仿宋" w:cs="仿宋"/>
                <w:kern w:val="0"/>
                <w:sz w:val="24"/>
              </w:rPr>
            </w:pPr>
          </w:p>
        </w:tc>
      </w:tr>
      <w:tr w:rsidR="00756990">
        <w:trPr>
          <w:trHeight w:val="20"/>
        </w:trPr>
        <w:tc>
          <w:tcPr>
            <w:tcW w:w="705"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7</w:t>
            </w:r>
          </w:p>
        </w:tc>
        <w:tc>
          <w:tcPr>
            <w:tcW w:w="2097" w:type="dxa"/>
            <w:gridSpan w:val="2"/>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安全检查及隐患治理</w:t>
            </w:r>
          </w:p>
        </w:tc>
        <w:tc>
          <w:tcPr>
            <w:tcW w:w="8222" w:type="dxa"/>
            <w:vAlign w:val="center"/>
          </w:tcPr>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企业应定期开展安全检查及事故隐患排查，建立隐患管理台帐，明确整改负责人、整改时限等要求，及时消除隐患：</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）每班巡检至少应包含搅拌机、反应釜、储罐、输送泵等生产设备设施是</w:t>
            </w:r>
            <w:r>
              <w:rPr>
                <w:rFonts w:ascii="仿宋" w:eastAsia="仿宋" w:hAnsi="仿宋" w:cs="仿宋" w:hint="eastAsia"/>
                <w:kern w:val="0"/>
                <w:sz w:val="24"/>
              </w:rPr>
              <w:lastRenderedPageBreak/>
              <w:t>否完好，运行是否正常；电气线路、可燃或有毒气体浓度报警装置、人体静电消除装置、静电接地系统等配套设施连接是否有效，有无破损脱落；物料管线标识是否清晰，有无跑冒滴漏现象；灭火器材是否按规定设置等内容；</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）每周至少对发电机房、消防泵房、配电房等场所开展一次检查，确保相关设备设施的完好性、有效性；</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）每半月至少对灭火器、应急灯的完好性和有效性开展一次检查；</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）每月对可燃或有毒气体浓度报警装置、漏电保护开关等开展一次性能检查或测试；</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）主要负责人至少每月按照《现场安全重点检查指引》及本重点清单内容组织一次全面隐患排查；</w:t>
            </w:r>
          </w:p>
          <w:p w:rsidR="00756990" w:rsidRDefault="006B6FC3">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）每季度至少对阻火器开展一次外观完好性检查；</w:t>
            </w:r>
          </w:p>
          <w:p w:rsidR="00756990" w:rsidRDefault="006B6FC3">
            <w:pPr>
              <w:tabs>
                <w:tab w:val="left" w:pos="420"/>
              </w:tabs>
              <w:rPr>
                <w:rFonts w:ascii="仿宋" w:eastAsia="仿宋" w:hAnsi="仿宋" w:cs="仿宋"/>
                <w:kern w:val="0"/>
                <w:sz w:val="24"/>
                <w:lang w:val="zh-CN"/>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）每半年至少对爆炸危险环境内静电接地主干线、人体静电消除装置等开展一次接地电阻检测</w:t>
            </w:r>
          </w:p>
        </w:tc>
        <w:tc>
          <w:tcPr>
            <w:tcW w:w="1700" w:type="dxa"/>
          </w:tcPr>
          <w:p w:rsidR="00756990" w:rsidRDefault="00756990">
            <w:pPr>
              <w:spacing w:line="320" w:lineRule="exact"/>
              <w:rPr>
                <w:rFonts w:ascii="仿宋" w:eastAsia="仿宋" w:hAnsi="仿宋" w:cs="仿宋"/>
                <w:kern w:val="0"/>
                <w:sz w:val="24"/>
              </w:rPr>
            </w:pPr>
          </w:p>
        </w:tc>
        <w:tc>
          <w:tcPr>
            <w:tcW w:w="1450" w:type="dxa"/>
          </w:tcPr>
          <w:p w:rsidR="00756990" w:rsidRDefault="00756990">
            <w:pPr>
              <w:spacing w:line="320" w:lineRule="exact"/>
              <w:rPr>
                <w:rFonts w:ascii="仿宋" w:eastAsia="仿宋" w:hAnsi="仿宋" w:cs="仿宋"/>
                <w:kern w:val="0"/>
                <w:sz w:val="24"/>
              </w:rPr>
            </w:pPr>
          </w:p>
        </w:tc>
      </w:tr>
    </w:tbl>
    <w:p w:rsidR="00756990" w:rsidRDefault="00756990"/>
    <w:sectPr w:rsidR="00756990" w:rsidSect="00756990">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C3" w:rsidRDefault="006B6FC3" w:rsidP="00756990">
      <w:r>
        <w:separator/>
      </w:r>
    </w:p>
  </w:endnote>
  <w:endnote w:type="continuationSeparator" w:id="1">
    <w:p w:rsidR="006B6FC3" w:rsidRDefault="006B6FC3" w:rsidP="00756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90" w:rsidRDefault="00756990">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756990" w:rsidRDefault="00756990">
                <w:pPr>
                  <w:pStyle w:val="a4"/>
                </w:pPr>
                <w:r>
                  <w:rPr>
                    <w:rFonts w:hint="eastAsia"/>
                  </w:rPr>
                  <w:fldChar w:fldCharType="begin"/>
                </w:r>
                <w:r w:rsidR="006B6FC3">
                  <w:rPr>
                    <w:rFonts w:hint="eastAsia"/>
                  </w:rPr>
                  <w:instrText xml:space="preserve"> PAGE  \* MERGEFORMAT </w:instrText>
                </w:r>
                <w:r>
                  <w:rPr>
                    <w:rFonts w:hint="eastAsia"/>
                  </w:rPr>
                  <w:fldChar w:fldCharType="separate"/>
                </w:r>
                <w:r w:rsidR="001263B2">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C3" w:rsidRDefault="006B6FC3" w:rsidP="00756990">
      <w:r>
        <w:separator/>
      </w:r>
    </w:p>
  </w:footnote>
  <w:footnote w:type="continuationSeparator" w:id="1">
    <w:p w:rsidR="006B6FC3" w:rsidRDefault="006B6FC3" w:rsidP="00756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406D"/>
    <w:multiLevelType w:val="multilevel"/>
    <w:tmpl w:val="0BB8406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C81"/>
    <w:rsid w:val="000213BE"/>
    <w:rsid w:val="00041370"/>
    <w:rsid w:val="000543A3"/>
    <w:rsid w:val="00083982"/>
    <w:rsid w:val="00083B03"/>
    <w:rsid w:val="0009145A"/>
    <w:rsid w:val="000A5757"/>
    <w:rsid w:val="0011400C"/>
    <w:rsid w:val="00121F8C"/>
    <w:rsid w:val="001263B2"/>
    <w:rsid w:val="00187B73"/>
    <w:rsid w:val="001C198E"/>
    <w:rsid w:val="001C64D4"/>
    <w:rsid w:val="001D0E10"/>
    <w:rsid w:val="001D410F"/>
    <w:rsid w:val="001D7C4E"/>
    <w:rsid w:val="00206263"/>
    <w:rsid w:val="00223FF2"/>
    <w:rsid w:val="002458A8"/>
    <w:rsid w:val="00250321"/>
    <w:rsid w:val="00296843"/>
    <w:rsid w:val="002B650F"/>
    <w:rsid w:val="002F03ED"/>
    <w:rsid w:val="002F44BB"/>
    <w:rsid w:val="00321C5B"/>
    <w:rsid w:val="003519F7"/>
    <w:rsid w:val="00374435"/>
    <w:rsid w:val="00375176"/>
    <w:rsid w:val="003862DC"/>
    <w:rsid w:val="003B030A"/>
    <w:rsid w:val="004154E1"/>
    <w:rsid w:val="00441F84"/>
    <w:rsid w:val="0045654A"/>
    <w:rsid w:val="00462062"/>
    <w:rsid w:val="00463C16"/>
    <w:rsid w:val="004641C9"/>
    <w:rsid w:val="00474391"/>
    <w:rsid w:val="004747A5"/>
    <w:rsid w:val="004754FE"/>
    <w:rsid w:val="00484A10"/>
    <w:rsid w:val="004D0115"/>
    <w:rsid w:val="00522ED5"/>
    <w:rsid w:val="005517F0"/>
    <w:rsid w:val="00576615"/>
    <w:rsid w:val="005C614B"/>
    <w:rsid w:val="005E0AE9"/>
    <w:rsid w:val="00607DDE"/>
    <w:rsid w:val="0061059E"/>
    <w:rsid w:val="0061078B"/>
    <w:rsid w:val="00610876"/>
    <w:rsid w:val="0061161A"/>
    <w:rsid w:val="0065698C"/>
    <w:rsid w:val="006967FB"/>
    <w:rsid w:val="006B6FC3"/>
    <w:rsid w:val="006C2187"/>
    <w:rsid w:val="006C36F8"/>
    <w:rsid w:val="006D5E20"/>
    <w:rsid w:val="006E2DED"/>
    <w:rsid w:val="006E3E8C"/>
    <w:rsid w:val="006E64F9"/>
    <w:rsid w:val="00737E2E"/>
    <w:rsid w:val="00755C81"/>
    <w:rsid w:val="00756990"/>
    <w:rsid w:val="007727C3"/>
    <w:rsid w:val="00777940"/>
    <w:rsid w:val="00786A25"/>
    <w:rsid w:val="00796634"/>
    <w:rsid w:val="0079795C"/>
    <w:rsid w:val="007B4CF5"/>
    <w:rsid w:val="007B67CD"/>
    <w:rsid w:val="0080368C"/>
    <w:rsid w:val="008263F1"/>
    <w:rsid w:val="0083502C"/>
    <w:rsid w:val="0085530D"/>
    <w:rsid w:val="00860162"/>
    <w:rsid w:val="00861257"/>
    <w:rsid w:val="00876796"/>
    <w:rsid w:val="00885C2C"/>
    <w:rsid w:val="008D4C14"/>
    <w:rsid w:val="0090420C"/>
    <w:rsid w:val="00925394"/>
    <w:rsid w:val="00926AC8"/>
    <w:rsid w:val="00932EB4"/>
    <w:rsid w:val="00952EC0"/>
    <w:rsid w:val="00986EC3"/>
    <w:rsid w:val="009900C9"/>
    <w:rsid w:val="009B16B3"/>
    <w:rsid w:val="009D0B76"/>
    <w:rsid w:val="009E6CA4"/>
    <w:rsid w:val="009F2317"/>
    <w:rsid w:val="00A074AA"/>
    <w:rsid w:val="00A07C7E"/>
    <w:rsid w:val="00A122C7"/>
    <w:rsid w:val="00A32AA9"/>
    <w:rsid w:val="00A50E76"/>
    <w:rsid w:val="00AA478C"/>
    <w:rsid w:val="00AC5674"/>
    <w:rsid w:val="00AE3135"/>
    <w:rsid w:val="00B2755F"/>
    <w:rsid w:val="00B37142"/>
    <w:rsid w:val="00B679B5"/>
    <w:rsid w:val="00B73BC8"/>
    <w:rsid w:val="00B74835"/>
    <w:rsid w:val="00BA40C0"/>
    <w:rsid w:val="00BB6D42"/>
    <w:rsid w:val="00C30BE6"/>
    <w:rsid w:val="00C36558"/>
    <w:rsid w:val="00C73F96"/>
    <w:rsid w:val="00C76EA8"/>
    <w:rsid w:val="00C83825"/>
    <w:rsid w:val="00C8384B"/>
    <w:rsid w:val="00C861E3"/>
    <w:rsid w:val="00C90EBA"/>
    <w:rsid w:val="00CD4406"/>
    <w:rsid w:val="00CE45C2"/>
    <w:rsid w:val="00D16D48"/>
    <w:rsid w:val="00D25EA2"/>
    <w:rsid w:val="00D4012D"/>
    <w:rsid w:val="00D41124"/>
    <w:rsid w:val="00D6113C"/>
    <w:rsid w:val="00D93D8A"/>
    <w:rsid w:val="00DB5899"/>
    <w:rsid w:val="00DB7F0C"/>
    <w:rsid w:val="00DC44D9"/>
    <w:rsid w:val="00DC771B"/>
    <w:rsid w:val="00DD5468"/>
    <w:rsid w:val="00E3093A"/>
    <w:rsid w:val="00E65D8A"/>
    <w:rsid w:val="00E76D5B"/>
    <w:rsid w:val="00E777FA"/>
    <w:rsid w:val="00EC0982"/>
    <w:rsid w:val="00EC6F4C"/>
    <w:rsid w:val="00ED2134"/>
    <w:rsid w:val="00F03B18"/>
    <w:rsid w:val="00F11EF4"/>
    <w:rsid w:val="00F4165E"/>
    <w:rsid w:val="00F564AD"/>
    <w:rsid w:val="00F7352F"/>
    <w:rsid w:val="00F738FA"/>
    <w:rsid w:val="00F75A67"/>
    <w:rsid w:val="00F92A3C"/>
    <w:rsid w:val="00F974DA"/>
    <w:rsid w:val="00FA6A6F"/>
    <w:rsid w:val="00FF2A35"/>
    <w:rsid w:val="02DC1A5C"/>
    <w:rsid w:val="08251222"/>
    <w:rsid w:val="08C83B2F"/>
    <w:rsid w:val="0A590344"/>
    <w:rsid w:val="0CF34ECB"/>
    <w:rsid w:val="11170021"/>
    <w:rsid w:val="122D1F74"/>
    <w:rsid w:val="12F00459"/>
    <w:rsid w:val="162916BB"/>
    <w:rsid w:val="18FB59E5"/>
    <w:rsid w:val="1A394134"/>
    <w:rsid w:val="1BCA420A"/>
    <w:rsid w:val="1F4D0D1A"/>
    <w:rsid w:val="202C6A40"/>
    <w:rsid w:val="218B1B03"/>
    <w:rsid w:val="2522708C"/>
    <w:rsid w:val="25AE4240"/>
    <w:rsid w:val="278C3B58"/>
    <w:rsid w:val="2B7204D3"/>
    <w:rsid w:val="2F905806"/>
    <w:rsid w:val="30B564F9"/>
    <w:rsid w:val="312F1EC1"/>
    <w:rsid w:val="35C60DE4"/>
    <w:rsid w:val="38EB6AED"/>
    <w:rsid w:val="39327E28"/>
    <w:rsid w:val="3F1E5EA8"/>
    <w:rsid w:val="3F2047DB"/>
    <w:rsid w:val="42B17A6B"/>
    <w:rsid w:val="46213857"/>
    <w:rsid w:val="46E53F8C"/>
    <w:rsid w:val="50E96E88"/>
    <w:rsid w:val="52A525AF"/>
    <w:rsid w:val="58FC46E8"/>
    <w:rsid w:val="59E91A48"/>
    <w:rsid w:val="5B532409"/>
    <w:rsid w:val="5B672448"/>
    <w:rsid w:val="5BB246D2"/>
    <w:rsid w:val="5BE246C2"/>
    <w:rsid w:val="5D535D20"/>
    <w:rsid w:val="63753EC2"/>
    <w:rsid w:val="640938EF"/>
    <w:rsid w:val="64276BE0"/>
    <w:rsid w:val="6730409D"/>
    <w:rsid w:val="70FA147C"/>
    <w:rsid w:val="73F87AE5"/>
    <w:rsid w:val="7B2F2FC6"/>
    <w:rsid w:val="7D6C4B98"/>
    <w:rsid w:val="7D742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56990"/>
    <w:rPr>
      <w:sz w:val="18"/>
      <w:szCs w:val="18"/>
    </w:rPr>
  </w:style>
  <w:style w:type="paragraph" w:styleId="a4">
    <w:name w:val="footer"/>
    <w:basedOn w:val="a"/>
    <w:link w:val="Char0"/>
    <w:qFormat/>
    <w:rsid w:val="00756990"/>
    <w:pPr>
      <w:tabs>
        <w:tab w:val="center" w:pos="4153"/>
        <w:tab w:val="right" w:pos="8306"/>
      </w:tabs>
      <w:snapToGrid w:val="0"/>
      <w:jc w:val="left"/>
    </w:pPr>
    <w:rPr>
      <w:sz w:val="18"/>
      <w:szCs w:val="18"/>
    </w:rPr>
  </w:style>
  <w:style w:type="paragraph" w:styleId="a5">
    <w:name w:val="header"/>
    <w:basedOn w:val="a"/>
    <w:link w:val="Char1"/>
    <w:qFormat/>
    <w:rsid w:val="00756990"/>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756990"/>
    <w:rPr>
      <w:i/>
      <w:iCs/>
    </w:rPr>
  </w:style>
  <w:style w:type="table" w:styleId="a7">
    <w:name w:val="Table Grid"/>
    <w:basedOn w:val="a1"/>
    <w:qFormat/>
    <w:rsid w:val="007569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990"/>
    <w:pPr>
      <w:ind w:firstLineChars="200" w:firstLine="420"/>
    </w:pPr>
  </w:style>
  <w:style w:type="character" w:customStyle="1" w:styleId="Char1">
    <w:name w:val="页眉 Char"/>
    <w:basedOn w:val="a0"/>
    <w:link w:val="a5"/>
    <w:qFormat/>
    <w:rsid w:val="00756990"/>
    <w:rPr>
      <w:rFonts w:asciiTheme="minorHAnsi" w:eastAsiaTheme="minorEastAsia" w:hAnsiTheme="minorHAnsi" w:cstheme="minorBidi"/>
      <w:kern w:val="2"/>
      <w:sz w:val="18"/>
      <w:szCs w:val="18"/>
    </w:rPr>
  </w:style>
  <w:style w:type="character" w:customStyle="1" w:styleId="Char0">
    <w:name w:val="页脚 Char"/>
    <w:basedOn w:val="a0"/>
    <w:link w:val="a4"/>
    <w:qFormat/>
    <w:rsid w:val="00756990"/>
    <w:rPr>
      <w:rFonts w:asciiTheme="minorHAnsi" w:eastAsiaTheme="minorEastAsia" w:hAnsiTheme="minorHAnsi" w:cstheme="minorBidi"/>
      <w:kern w:val="2"/>
      <w:sz w:val="18"/>
      <w:szCs w:val="18"/>
    </w:rPr>
  </w:style>
  <w:style w:type="character" w:customStyle="1" w:styleId="apple-converted-space">
    <w:name w:val="apple-converted-space"/>
    <w:basedOn w:val="a0"/>
    <w:qFormat/>
    <w:rsid w:val="00756990"/>
  </w:style>
  <w:style w:type="character" w:customStyle="1" w:styleId="Char">
    <w:name w:val="批注框文本 Char"/>
    <w:basedOn w:val="a0"/>
    <w:link w:val="a3"/>
    <w:qFormat/>
    <w:rsid w:val="007569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dc:creator>
  <cp:lastModifiedBy>朱向东</cp:lastModifiedBy>
  <cp:revision>2</cp:revision>
  <dcterms:created xsi:type="dcterms:W3CDTF">2020-10-16T08:05:00Z</dcterms:created>
  <dcterms:modified xsi:type="dcterms:W3CDTF">2020-10-16T08:05:00Z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