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4</w:t>
      </w:r>
      <w:r>
        <w:rPr>
          <w:rFonts w:hint="eastAsia" w:ascii="黑体" w:hAnsi="黑体" w:eastAsia="黑体" w:cs="方正小标宋简体"/>
          <w:sz w:val="32"/>
          <w:szCs w:val="32"/>
        </w:rPr>
        <w:t>：</w:t>
      </w:r>
    </w:p>
    <w:p>
      <w:pPr>
        <w:jc w:val="center"/>
        <w:rPr>
          <w:rFonts w:ascii="方正小标宋简体" w:hAnsi="Times New Roman" w:eastAsia="方正小标宋简体" w:cs="方正小标宋简体"/>
          <w:b/>
          <w:bCs/>
          <w:sz w:val="44"/>
          <w:szCs w:val="44"/>
        </w:rPr>
      </w:pPr>
      <w:r>
        <w:rPr>
          <w:rFonts w:hint="eastAsia" w:ascii="方正小标宋简体" w:hAnsi="Times New Roman" w:eastAsia="方正小标宋简体" w:cs="方正小标宋简体"/>
          <w:b/>
          <w:bCs/>
          <w:sz w:val="44"/>
          <w:szCs w:val="44"/>
        </w:rPr>
        <w:t>深圳市危险化学品企业安全生产标准化三级达标审查重点清单（试行）</w:t>
      </w:r>
    </w:p>
    <w:p>
      <w:pPr>
        <w:jc w:val="center"/>
        <w:rPr>
          <w:rFonts w:ascii="方正小标宋简体" w:hAnsi="Times New Roman" w:eastAsia="方正小标宋简体" w:cs="方正小标宋简体"/>
          <w:b/>
          <w:bCs/>
          <w:sz w:val="44"/>
          <w:szCs w:val="44"/>
        </w:rPr>
      </w:pPr>
      <w:r>
        <w:rPr>
          <w:rFonts w:hint="eastAsia" w:ascii="方正小标宋简体" w:hAnsi="Times New Roman" w:eastAsia="方正小标宋简体" w:cs="方正小标宋简体"/>
          <w:b/>
          <w:bCs/>
          <w:sz w:val="44"/>
          <w:szCs w:val="44"/>
        </w:rPr>
        <w:t>（油库）</w:t>
      </w:r>
    </w:p>
    <w:p>
      <w:pPr>
        <w:spacing w:line="560" w:lineRule="exact"/>
        <w:jc w:val="center"/>
        <w:rPr>
          <w:rFonts w:ascii="黑体" w:hAnsi="黑体" w:eastAsia="黑体"/>
          <w:b/>
          <w:bCs/>
          <w:sz w:val="32"/>
          <w:szCs w:val="32"/>
        </w:rPr>
      </w:pPr>
      <w:r>
        <w:rPr>
          <w:rFonts w:hint="eastAsia" w:ascii="黑体" w:hAnsi="黑体" w:eastAsia="黑体"/>
          <w:b/>
          <w:bCs/>
          <w:sz w:val="32"/>
          <w:szCs w:val="32"/>
        </w:rPr>
        <w:t>审 查 说 明</w:t>
      </w:r>
    </w:p>
    <w:p>
      <w:pPr>
        <w:pStyle w:val="8"/>
        <w:numPr>
          <w:ilvl w:val="0"/>
          <w:numId w:val="1"/>
        </w:numPr>
        <w:tabs>
          <w:tab w:val="left" w:pos="851"/>
        </w:tabs>
        <w:spacing w:line="400" w:lineRule="exact"/>
        <w:ind w:left="839" w:hanging="357" w:firstLineChars="0"/>
        <w:rPr>
          <w:rFonts w:ascii="仿宋_GB2312" w:eastAsia="仿宋_GB2312"/>
          <w:sz w:val="24"/>
        </w:rPr>
      </w:pPr>
      <w:r>
        <w:rPr>
          <w:rFonts w:hint="eastAsia" w:ascii="仿宋_GB2312" w:eastAsia="仿宋_GB2312"/>
          <w:sz w:val="24"/>
        </w:rPr>
        <w:t>本重点清单依据《危险化学品从业单位安全生产标准化评审标准》《油库现场安全重点检查指引》</w:t>
      </w:r>
      <w:r>
        <w:rPr>
          <w:rFonts w:hint="eastAsia" w:ascii="仿宋_GB2312" w:eastAsia="仿宋_GB2312"/>
          <w:sz w:val="24"/>
          <w:lang w:eastAsia="zh-CN"/>
        </w:rPr>
        <w:t>等</w:t>
      </w:r>
      <w:r>
        <w:rPr>
          <w:rFonts w:hint="eastAsia" w:ascii="仿宋_GB2312" w:eastAsia="仿宋_GB2312"/>
          <w:sz w:val="24"/>
        </w:rPr>
        <w:t>编制，适用于深圳市油库安全生产标准化三级达标审查工作</w:t>
      </w:r>
      <w:r>
        <w:rPr>
          <w:rFonts w:hint="eastAsia" w:ascii="仿宋_GB2312" w:eastAsia="仿宋_GB2312"/>
          <w:sz w:val="24"/>
          <w:lang w:eastAsia="zh-CN"/>
        </w:rPr>
        <w:t>，引导</w:t>
      </w:r>
      <w:r>
        <w:rPr>
          <w:rFonts w:hint="eastAsia" w:ascii="仿宋_GB2312" w:eastAsia="仿宋_GB2312"/>
          <w:sz w:val="24"/>
        </w:rPr>
        <w:t>企业重点管控现场安全风险，持续改进、自我提升</w:t>
      </w:r>
      <w:r>
        <w:rPr>
          <w:rFonts w:hint="eastAsia" w:ascii="仿宋_GB2312" w:eastAsia="仿宋_GB2312"/>
          <w:sz w:val="24"/>
          <w:lang w:eastAsia="zh-CN"/>
        </w:rPr>
        <w:t>安全管理水平</w:t>
      </w:r>
      <w:r>
        <w:rPr>
          <w:rFonts w:hint="eastAsia" w:ascii="仿宋_GB2312" w:eastAsia="仿宋_GB2312"/>
          <w:sz w:val="24"/>
        </w:rPr>
        <w:t>。</w:t>
      </w:r>
    </w:p>
    <w:p>
      <w:pPr>
        <w:pStyle w:val="8"/>
        <w:numPr>
          <w:ilvl w:val="0"/>
          <w:numId w:val="1"/>
        </w:numPr>
        <w:tabs>
          <w:tab w:val="left" w:pos="851"/>
        </w:tabs>
        <w:spacing w:line="400" w:lineRule="exact"/>
        <w:ind w:left="839" w:hanging="357" w:firstLineChars="0"/>
        <w:rPr>
          <w:rFonts w:ascii="仿宋_GB2312" w:eastAsia="仿宋_GB2312"/>
          <w:sz w:val="24"/>
        </w:rPr>
      </w:pPr>
      <w:bookmarkStart w:id="0" w:name="_Hlk42628729"/>
      <w:r>
        <w:rPr>
          <w:rFonts w:hint="eastAsia" w:ascii="仿宋_GB2312" w:eastAsia="仿宋_GB2312"/>
          <w:sz w:val="24"/>
        </w:rPr>
        <w:t>本重点清单所列审查事项均为否决项；现场审查时，安全生产标准化三级达标企业应符合全部审查事项对应的审查内容</w:t>
      </w:r>
      <w:r>
        <w:rPr>
          <w:rFonts w:hint="eastAsia" w:ascii="仿宋_GB2312" w:eastAsia="仿宋_GB2312"/>
          <w:sz w:val="24"/>
          <w:lang w:eastAsia="zh-CN"/>
        </w:rPr>
        <w:t>要求</w:t>
      </w:r>
      <w:r>
        <w:rPr>
          <w:rFonts w:hint="eastAsia" w:ascii="仿宋_GB2312" w:eastAsia="仿宋_GB2312"/>
          <w:sz w:val="24"/>
        </w:rPr>
        <w:t>，其中被审查企业不涉及的审查内容列为缺项，不纳入审查。</w:t>
      </w:r>
      <w:bookmarkEnd w:id="0"/>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61"/>
        <w:gridCol w:w="1169"/>
        <w:gridCol w:w="9095"/>
        <w:gridCol w:w="135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07" w:type="dxa"/>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序号</w:t>
            </w:r>
          </w:p>
        </w:tc>
        <w:tc>
          <w:tcPr>
            <w:tcW w:w="2130" w:type="dxa"/>
            <w:gridSpan w:val="2"/>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审查事项</w:t>
            </w:r>
          </w:p>
        </w:tc>
        <w:tc>
          <w:tcPr>
            <w:tcW w:w="9095" w:type="dxa"/>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审查内容</w:t>
            </w:r>
          </w:p>
        </w:tc>
        <w:tc>
          <w:tcPr>
            <w:tcW w:w="1350" w:type="dxa"/>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是否符合</w:t>
            </w:r>
          </w:p>
        </w:tc>
        <w:tc>
          <w:tcPr>
            <w:tcW w:w="892" w:type="dxa"/>
          </w:tcPr>
          <w:p>
            <w:pPr>
              <w:spacing w:line="320" w:lineRule="exact"/>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1</w:t>
            </w:r>
          </w:p>
        </w:tc>
        <w:tc>
          <w:tcPr>
            <w:tcW w:w="2130" w:type="dxa"/>
            <w:gridSpan w:val="2"/>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风险辨识和</w:t>
            </w:r>
            <w:bookmarkStart w:id="1" w:name="_GoBack"/>
            <w:bookmarkEnd w:id="1"/>
            <w:r>
              <w:rPr>
                <w:rFonts w:hint="eastAsia" w:ascii="仿宋" w:hAnsi="仿宋" w:eastAsia="仿宋" w:cs="仿宋"/>
                <w:kern w:val="0"/>
                <w:sz w:val="24"/>
              </w:rPr>
              <w:t>分级管控</w:t>
            </w:r>
          </w:p>
        </w:tc>
        <w:tc>
          <w:tcPr>
            <w:tcW w:w="9095" w:type="dxa"/>
          </w:tcPr>
          <w:p>
            <w:pPr>
              <w:tabs>
                <w:tab w:val="left" w:pos="420"/>
              </w:tabs>
              <w:rPr>
                <w:rFonts w:hint="eastAsia" w:ascii="仿宋" w:hAnsi="仿宋" w:eastAsia="仿宋" w:cs="仿宋"/>
                <w:kern w:val="0"/>
                <w:sz w:val="24"/>
              </w:rPr>
            </w:pPr>
            <w:r>
              <w:rPr>
                <w:rFonts w:hint="eastAsia" w:ascii="仿宋" w:hAnsi="仿宋" w:eastAsia="仿宋" w:cs="仿宋"/>
                <w:kern w:val="0"/>
                <w:sz w:val="24"/>
              </w:rPr>
              <w:t>（1）油库应建立风险辨识和分级管控制度，明确组织机构、职责分工、工作程序、辨识方法、辨识频次、风险分级、风险评价、分级管控措施等要求；</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（2）油库应严格执行制度要求，设置岗位安全风险告知卡，至少每半年更新安全风险清单，每班交接班记录说明安全隐患情况</w:t>
            </w:r>
          </w:p>
        </w:tc>
        <w:tc>
          <w:tcPr>
            <w:tcW w:w="1350" w:type="dxa"/>
          </w:tcPr>
          <w:p>
            <w:pPr>
              <w:rPr>
                <w:rFonts w:ascii="仿宋" w:hAnsi="仿宋" w:eastAsia="仿宋" w:cs="仿宋"/>
                <w:sz w:val="24"/>
              </w:rPr>
            </w:pPr>
          </w:p>
        </w:tc>
        <w:tc>
          <w:tcPr>
            <w:tcW w:w="89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2</w:t>
            </w:r>
          </w:p>
        </w:tc>
        <w:tc>
          <w:tcPr>
            <w:tcW w:w="2130" w:type="dxa"/>
            <w:gridSpan w:val="2"/>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安全生产教育和培训</w:t>
            </w:r>
          </w:p>
        </w:tc>
        <w:tc>
          <w:tcPr>
            <w:tcW w:w="9095" w:type="dxa"/>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应对新员工进行三级安全培训教育，并经考核合格后方可上岗；</w:t>
            </w:r>
          </w:p>
          <w:p>
            <w:pPr>
              <w:tabs>
                <w:tab w:val="left" w:pos="420"/>
              </w:tabs>
              <w:rPr>
                <w:rFonts w:hint="eastAsia" w:ascii="仿宋" w:hAnsi="仿宋" w:eastAsia="仿宋" w:cs="仿宋"/>
                <w:kern w:val="0"/>
                <w:sz w:val="24"/>
              </w:rPr>
            </w:pPr>
            <w:r>
              <w:rPr>
                <w:rFonts w:hint="eastAsia" w:ascii="仿宋" w:hAnsi="仿宋" w:eastAsia="仿宋" w:cs="仿宋"/>
                <w:kern w:val="0"/>
                <w:sz w:val="24"/>
              </w:rPr>
              <w:t>（2）从业人员每年应接受再培训，再培训时间不得少于20学时；</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（3）检维修前应对检维修人员进行作业前交底、安全培训教育</w:t>
            </w:r>
          </w:p>
        </w:tc>
        <w:tc>
          <w:tcPr>
            <w:tcW w:w="1350" w:type="dxa"/>
          </w:tcPr>
          <w:p>
            <w:pPr>
              <w:rPr>
                <w:rFonts w:ascii="仿宋" w:hAnsi="仿宋" w:eastAsia="仿宋" w:cs="仿宋"/>
                <w:sz w:val="24"/>
              </w:rPr>
            </w:pPr>
          </w:p>
        </w:tc>
        <w:tc>
          <w:tcPr>
            <w:tcW w:w="89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w:t>
            </w:r>
          </w:p>
        </w:tc>
        <w:tc>
          <w:tcPr>
            <w:tcW w:w="961" w:type="dxa"/>
            <w:vMerge w:val="restart"/>
            <w:vAlign w:val="center"/>
          </w:tcPr>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设备</w:t>
            </w:r>
            <w:r>
              <w:rPr>
                <w:rFonts w:hint="eastAsia" w:ascii="仿宋" w:hAnsi="仿宋" w:eastAsia="仿宋" w:cs="仿宋"/>
                <w:kern w:val="0"/>
                <w:sz w:val="24"/>
                <w:lang w:val="zh-CN"/>
              </w:rPr>
              <w:t>设</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施及工</w:t>
            </w:r>
          </w:p>
          <w:p>
            <w:pPr>
              <w:tabs>
                <w:tab w:val="left" w:pos="420"/>
              </w:tabs>
              <w:rPr>
                <w:rFonts w:hint="eastAsia" w:ascii="仿宋" w:hAnsi="仿宋" w:eastAsia="仿宋" w:cs="仿宋"/>
                <w:kern w:val="0"/>
                <w:sz w:val="24"/>
              </w:rPr>
            </w:pPr>
            <w:r>
              <w:rPr>
                <w:rFonts w:hint="eastAsia" w:ascii="仿宋" w:hAnsi="仿宋" w:eastAsia="仿宋" w:cs="仿宋"/>
                <w:kern w:val="0"/>
                <w:sz w:val="24"/>
                <w:lang w:val="zh-CN"/>
              </w:rPr>
              <w:t>艺安全</w:t>
            </w:r>
          </w:p>
        </w:tc>
        <w:tc>
          <w:tcPr>
            <w:tcW w:w="1169"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3.1储罐区</w:t>
            </w:r>
          </w:p>
        </w:tc>
        <w:tc>
          <w:tcPr>
            <w:tcW w:w="9095"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甲、乙、丙A类液体储罐的上罐扶梯入口处应设消除人体静电装置；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储罐上的仪表及控制系统的配线电缆应采用屏蔽电缆并应穿镀锌钢管保护，钢管与钢管、钢管与电气设备、钢管与钢管附件之间应采用螺纹连接，应连接紧实无松动；</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储罐上安装的信号远传仪表，其金属外壳应与储罐体做电气连接</w:t>
            </w:r>
            <w:r>
              <w:rPr>
                <w:rFonts w:hint="eastAsia" w:ascii="仿宋" w:hAnsi="仿宋" w:eastAsia="仿宋" w:cs="仿宋"/>
                <w:kern w:val="0"/>
                <w:sz w:val="24"/>
                <w:lang w:val="zh-CN"/>
              </w:rPr>
              <w:t>；</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甲、乙A类液体等产生可燃气体的液体储罐防火堤内应设可燃气体检测报警装置</w:t>
            </w:r>
          </w:p>
        </w:tc>
        <w:tc>
          <w:tcPr>
            <w:tcW w:w="1350" w:type="dxa"/>
            <w:vMerge w:val="restart"/>
          </w:tcPr>
          <w:p>
            <w:pPr>
              <w:rPr>
                <w:rFonts w:ascii="仿宋" w:hAnsi="仿宋" w:eastAsia="仿宋" w:cs="仿宋"/>
                <w:sz w:val="24"/>
              </w:rPr>
            </w:pPr>
          </w:p>
        </w:tc>
        <w:tc>
          <w:tcPr>
            <w:tcW w:w="892" w:type="dxa"/>
            <w:vMerge w:val="restar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Merge w:val="continue"/>
            <w:vAlign w:val="center"/>
          </w:tcPr>
          <w:p>
            <w:pPr>
              <w:tabs>
                <w:tab w:val="left" w:pos="420"/>
              </w:tabs>
              <w:rPr>
                <w:rFonts w:hint="eastAsia" w:ascii="仿宋" w:hAnsi="仿宋" w:eastAsia="仿宋" w:cs="仿宋"/>
                <w:kern w:val="0"/>
                <w:sz w:val="24"/>
              </w:rPr>
            </w:pPr>
          </w:p>
        </w:tc>
        <w:tc>
          <w:tcPr>
            <w:tcW w:w="961" w:type="dxa"/>
            <w:vMerge w:val="continue"/>
            <w:vAlign w:val="center"/>
          </w:tcPr>
          <w:p>
            <w:pPr>
              <w:tabs>
                <w:tab w:val="left" w:pos="420"/>
              </w:tabs>
              <w:rPr>
                <w:rFonts w:hint="eastAsia" w:ascii="仿宋" w:hAnsi="仿宋" w:eastAsia="仿宋" w:cs="仿宋"/>
                <w:kern w:val="0"/>
                <w:sz w:val="24"/>
              </w:rPr>
            </w:pPr>
          </w:p>
        </w:tc>
        <w:tc>
          <w:tcPr>
            <w:tcW w:w="1169"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3.2装卸区</w:t>
            </w:r>
          </w:p>
        </w:tc>
        <w:tc>
          <w:tcPr>
            <w:tcW w:w="9095"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易燃液体汽车灌装棚内所有电气设备的金属外壳、金属构件均应接地；</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易燃液体汽车灌装棚内所有配电线路应使用镀锌钢管配线，钢管与钢管、钢管与电气设备、钢管与钢管附件之间应采用螺纹连接，应连接紧实无松动；在电机进线口处、钢管与电气设备直接连接有困难处，应使用防爆挠性连接管连接，铠装电缆连接时封堵应严实；</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甲、乙、丙A类液体装卸作业区内平台的扶梯入口处应设消除人体静电装置；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甲、乙、丙A类液体的汽车罐车设施应设置与罐车跨接的防静电接地装置；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w:t>
            </w:r>
            <w:r>
              <w:rPr>
                <w:rFonts w:hint="eastAsia" w:ascii="仿宋" w:hAnsi="仿宋" w:eastAsia="仿宋" w:cs="仿宋"/>
                <w:kern w:val="0"/>
                <w:sz w:val="24"/>
              </w:rPr>
              <w:t>甲、乙A类液体的装卸设施应设可燃气体检测报警装置</w:t>
            </w:r>
          </w:p>
        </w:tc>
        <w:tc>
          <w:tcPr>
            <w:tcW w:w="1350" w:type="dxa"/>
            <w:vMerge w:val="continue"/>
          </w:tcPr>
          <w:p>
            <w:pPr>
              <w:tabs>
                <w:tab w:val="left" w:pos="420"/>
              </w:tabs>
              <w:rPr>
                <w:rFonts w:ascii="仿宋" w:hAnsi="仿宋" w:eastAsia="仿宋" w:cs="仿宋"/>
                <w:kern w:val="0"/>
                <w:sz w:val="24"/>
              </w:rPr>
            </w:pPr>
          </w:p>
        </w:tc>
        <w:tc>
          <w:tcPr>
            <w:tcW w:w="892" w:type="dxa"/>
            <w:vMerge w:val="continue"/>
          </w:tcPr>
          <w:p>
            <w:pPr>
              <w:tabs>
                <w:tab w:val="left" w:pos="420"/>
              </w:tabs>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trPr>
        <w:tc>
          <w:tcPr>
            <w:tcW w:w="707" w:type="dxa"/>
            <w:vMerge w:val="continue"/>
            <w:vAlign w:val="center"/>
          </w:tcPr>
          <w:p>
            <w:pPr>
              <w:tabs>
                <w:tab w:val="left" w:pos="420"/>
              </w:tabs>
              <w:rPr>
                <w:rFonts w:hint="eastAsia" w:ascii="仿宋" w:hAnsi="仿宋" w:eastAsia="仿宋" w:cs="仿宋"/>
                <w:kern w:val="0"/>
                <w:sz w:val="24"/>
              </w:rPr>
            </w:pPr>
          </w:p>
        </w:tc>
        <w:tc>
          <w:tcPr>
            <w:tcW w:w="961" w:type="dxa"/>
            <w:vMerge w:val="continue"/>
            <w:vAlign w:val="center"/>
          </w:tcPr>
          <w:p>
            <w:pPr>
              <w:tabs>
                <w:tab w:val="left" w:pos="420"/>
              </w:tabs>
              <w:rPr>
                <w:rFonts w:hint="eastAsia" w:ascii="仿宋" w:hAnsi="仿宋" w:eastAsia="仿宋" w:cs="仿宋"/>
                <w:kern w:val="0"/>
                <w:sz w:val="24"/>
              </w:rPr>
            </w:pPr>
          </w:p>
        </w:tc>
        <w:tc>
          <w:tcPr>
            <w:tcW w:w="1169"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3.3泵站</w:t>
            </w:r>
          </w:p>
        </w:tc>
        <w:tc>
          <w:tcPr>
            <w:tcW w:w="9095"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易燃液体泵站的门外应设消除人体静电的装置；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易燃液体泵站内所有电气设备的金属外壳、金属构件均应接地；</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易燃液体泵站内所有配电线路应使用镀锌钢管配线，钢管与钢管、钢管与电气设备、钢管与钢管附件之间应采用螺纹连接，应连接紧实无松动；在电机进线口处、钢管与电气设备直接连接有困难处,应使用防爆挠性连接管连接，铠装电缆连接时应封堵严实；</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甲、乙A类液体泵站应设可燃气体检测报警装置</w:t>
            </w:r>
          </w:p>
        </w:tc>
        <w:tc>
          <w:tcPr>
            <w:tcW w:w="1350" w:type="dxa"/>
            <w:vMerge w:val="continue"/>
          </w:tcPr>
          <w:p>
            <w:pPr>
              <w:tabs>
                <w:tab w:val="left" w:pos="420"/>
              </w:tabs>
              <w:rPr>
                <w:rFonts w:ascii="仿宋" w:hAnsi="仿宋" w:eastAsia="仿宋" w:cs="仿宋"/>
                <w:kern w:val="0"/>
                <w:sz w:val="24"/>
              </w:rPr>
            </w:pPr>
          </w:p>
        </w:tc>
        <w:tc>
          <w:tcPr>
            <w:tcW w:w="892" w:type="dxa"/>
            <w:vMerge w:val="continue"/>
          </w:tcPr>
          <w:p>
            <w:pPr>
              <w:tabs>
                <w:tab w:val="left" w:pos="420"/>
              </w:tabs>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7" w:type="dxa"/>
            <w:vMerge w:val="continue"/>
            <w:vAlign w:val="center"/>
          </w:tcPr>
          <w:p>
            <w:pPr>
              <w:tabs>
                <w:tab w:val="left" w:pos="420"/>
              </w:tabs>
              <w:rPr>
                <w:rFonts w:hint="eastAsia" w:ascii="仿宋" w:hAnsi="仿宋" w:eastAsia="仿宋" w:cs="仿宋"/>
                <w:kern w:val="0"/>
                <w:sz w:val="24"/>
              </w:rPr>
            </w:pPr>
          </w:p>
        </w:tc>
        <w:tc>
          <w:tcPr>
            <w:tcW w:w="961" w:type="dxa"/>
            <w:vMerge w:val="continue"/>
            <w:vAlign w:val="center"/>
          </w:tcPr>
          <w:p>
            <w:pPr>
              <w:tabs>
                <w:tab w:val="left" w:pos="420"/>
              </w:tabs>
              <w:rPr>
                <w:rFonts w:hint="eastAsia" w:ascii="仿宋" w:hAnsi="仿宋" w:eastAsia="仿宋" w:cs="仿宋"/>
                <w:kern w:val="0"/>
                <w:sz w:val="24"/>
              </w:rPr>
            </w:pPr>
          </w:p>
        </w:tc>
        <w:tc>
          <w:tcPr>
            <w:tcW w:w="1169"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3.4工艺管道</w:t>
            </w:r>
          </w:p>
        </w:tc>
        <w:tc>
          <w:tcPr>
            <w:tcW w:w="9095" w:type="dxa"/>
            <w:vAlign w:val="center"/>
          </w:tcPr>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爆炸危险区域内的工艺管道法兰连接处少于5根螺栓连接时、管道净距小于100mm时应跨接</w:t>
            </w:r>
            <w:r>
              <w:rPr>
                <w:rFonts w:hint="eastAsia" w:ascii="仿宋" w:hAnsi="仿宋" w:eastAsia="仿宋" w:cs="仿宋"/>
                <w:kern w:val="0"/>
                <w:sz w:val="24"/>
                <w:lang w:val="zh-CN"/>
              </w:rPr>
              <w:t>；</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地上或非充沙管沟敷设的工艺管道的始端、末端、分支处以及直线段每隔200m-300m处，应设置防静电接地；</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工艺管道上的安全阀、压力表应定期校验</w:t>
            </w:r>
          </w:p>
        </w:tc>
        <w:tc>
          <w:tcPr>
            <w:tcW w:w="1350" w:type="dxa"/>
            <w:vMerge w:val="continue"/>
          </w:tcPr>
          <w:p>
            <w:pPr>
              <w:tabs>
                <w:tab w:val="left" w:pos="420"/>
              </w:tabs>
              <w:rPr>
                <w:rFonts w:ascii="仿宋" w:hAnsi="仿宋" w:eastAsia="仿宋" w:cs="仿宋"/>
                <w:kern w:val="0"/>
                <w:sz w:val="24"/>
              </w:rPr>
            </w:pPr>
          </w:p>
        </w:tc>
        <w:tc>
          <w:tcPr>
            <w:tcW w:w="892" w:type="dxa"/>
            <w:vMerge w:val="continue"/>
          </w:tcPr>
          <w:p>
            <w:pPr>
              <w:tabs>
                <w:tab w:val="left" w:pos="420"/>
              </w:tabs>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w:t>
            </w:r>
          </w:p>
        </w:tc>
        <w:tc>
          <w:tcPr>
            <w:tcW w:w="961" w:type="dxa"/>
            <w:vAlign w:val="center"/>
          </w:tcPr>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设备</w:t>
            </w:r>
            <w:r>
              <w:rPr>
                <w:rFonts w:hint="eastAsia" w:ascii="仿宋" w:hAnsi="仿宋" w:eastAsia="仿宋" w:cs="仿宋"/>
                <w:kern w:val="0"/>
                <w:sz w:val="24"/>
                <w:lang w:val="zh-CN"/>
              </w:rPr>
              <w:t>设</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施及工</w:t>
            </w:r>
          </w:p>
          <w:p>
            <w:pPr>
              <w:tabs>
                <w:tab w:val="left" w:pos="420"/>
              </w:tabs>
              <w:rPr>
                <w:rFonts w:hint="eastAsia" w:ascii="仿宋" w:hAnsi="仿宋" w:eastAsia="仿宋" w:cs="仿宋"/>
                <w:kern w:val="0"/>
                <w:sz w:val="24"/>
              </w:rPr>
            </w:pPr>
            <w:r>
              <w:rPr>
                <w:rFonts w:hint="eastAsia" w:ascii="仿宋" w:hAnsi="仿宋" w:eastAsia="仿宋" w:cs="仿宋"/>
                <w:kern w:val="0"/>
                <w:sz w:val="24"/>
                <w:lang w:val="zh-CN"/>
              </w:rPr>
              <w:t>艺安全</w:t>
            </w:r>
          </w:p>
        </w:tc>
        <w:tc>
          <w:tcPr>
            <w:tcW w:w="1169"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3.5辅助服务区</w:t>
            </w:r>
          </w:p>
        </w:tc>
        <w:tc>
          <w:tcPr>
            <w:tcW w:w="9095"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油库内应设消防值班室，消防值班室内应设专用受警录音电话，一、二、三级油库消防值班室应与消防泵控制室合并设置；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容量大于100m³的储罐应设液位测量远传仪表应在自动控制系统中设高、低液位报警；</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年周转次数大于6次，且容量大于等于10000m³或年周转次数小于等于6次且容量大于20000m³的甲B、乙类液体储罐应设高高液位报警及连锁。容量大于等于50000</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m³的内浮顶罐应设低低液位报警；</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一级油库的重要工艺机泵、消防泵等电动设备和控制阀门，除应能在现场操作外，尚应能在控制室进行控制和显示状态。二级油库除应能在现场操作外，尚宜能在控制室进行控制和显示状态；</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w:t>
            </w:r>
            <w:r>
              <w:rPr>
                <w:rFonts w:hint="eastAsia" w:ascii="仿宋" w:hAnsi="仿宋" w:eastAsia="仿宋" w:cs="仿宋"/>
                <w:kern w:val="0"/>
                <w:sz w:val="24"/>
              </w:rPr>
              <w:t>油库应设置电视监视系统，监视范围应覆盖储罐区、泵站、装卸区和主要设施出入口等处</w:t>
            </w:r>
          </w:p>
        </w:tc>
        <w:tc>
          <w:tcPr>
            <w:tcW w:w="1350" w:type="dxa"/>
            <w:vMerge w:val="continue"/>
          </w:tcPr>
          <w:p>
            <w:pPr>
              <w:tabs>
                <w:tab w:val="left" w:pos="420"/>
              </w:tabs>
              <w:rPr>
                <w:rFonts w:ascii="仿宋" w:hAnsi="仿宋" w:eastAsia="仿宋" w:cs="仿宋"/>
                <w:kern w:val="0"/>
                <w:sz w:val="24"/>
              </w:rPr>
            </w:pPr>
          </w:p>
        </w:tc>
        <w:tc>
          <w:tcPr>
            <w:tcW w:w="892" w:type="dxa"/>
            <w:vMerge w:val="continue"/>
          </w:tcPr>
          <w:p>
            <w:pPr>
              <w:tabs>
                <w:tab w:val="left" w:pos="420"/>
              </w:tabs>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4</w:t>
            </w:r>
          </w:p>
        </w:tc>
        <w:tc>
          <w:tcPr>
            <w:tcW w:w="961"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作业安全</w:t>
            </w:r>
          </w:p>
        </w:tc>
        <w:tc>
          <w:tcPr>
            <w:tcW w:w="1169"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4.1特殊作业</w:t>
            </w:r>
          </w:p>
        </w:tc>
        <w:tc>
          <w:tcPr>
            <w:tcW w:w="9095" w:type="dxa"/>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动火作业、进入受限空间作业、破土作业、临时用电作业、高处作业、吊装作业等特殊作业应实施作业许可管理，严格履行审批手续，应由主要负责人审批；</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特殊作业现场设置公示牌，内容至少包含施工方案、技术交底、培训记录、作业票，外来施工还应增加进站审批手续；</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特殊作业现场配备相应安全防护用品（具）、消防设施及器材；</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（4）特殊作业监护人员应与作业票签名人员一致，按要求进行现场监护，不得随意离开监护岗位</w:t>
            </w:r>
          </w:p>
        </w:tc>
        <w:tc>
          <w:tcPr>
            <w:tcW w:w="1350" w:type="dxa"/>
            <w:vMerge w:val="restart"/>
          </w:tcPr>
          <w:p>
            <w:pPr>
              <w:rPr>
                <w:rFonts w:ascii="仿宋" w:hAnsi="仿宋" w:eastAsia="仿宋" w:cs="仿宋"/>
                <w:sz w:val="24"/>
              </w:rPr>
            </w:pPr>
          </w:p>
        </w:tc>
        <w:tc>
          <w:tcPr>
            <w:tcW w:w="892" w:type="dxa"/>
            <w:vMerge w:val="restar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Merge w:val="continue"/>
            <w:vAlign w:val="center"/>
          </w:tcPr>
          <w:p>
            <w:pPr>
              <w:tabs>
                <w:tab w:val="left" w:pos="420"/>
              </w:tabs>
              <w:rPr>
                <w:rFonts w:hint="eastAsia" w:ascii="仿宋" w:hAnsi="仿宋" w:eastAsia="仿宋" w:cs="仿宋"/>
                <w:kern w:val="0"/>
                <w:sz w:val="24"/>
              </w:rPr>
            </w:pPr>
          </w:p>
        </w:tc>
        <w:tc>
          <w:tcPr>
            <w:tcW w:w="961" w:type="dxa"/>
            <w:vMerge w:val="continue"/>
            <w:vAlign w:val="center"/>
          </w:tcPr>
          <w:p>
            <w:pPr>
              <w:tabs>
                <w:tab w:val="left" w:pos="420"/>
              </w:tabs>
              <w:rPr>
                <w:rFonts w:hint="eastAsia" w:ascii="仿宋" w:hAnsi="仿宋" w:eastAsia="仿宋" w:cs="仿宋"/>
                <w:kern w:val="0"/>
                <w:sz w:val="24"/>
              </w:rPr>
            </w:pPr>
          </w:p>
        </w:tc>
        <w:tc>
          <w:tcPr>
            <w:tcW w:w="1169"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4.2灌装作业</w:t>
            </w:r>
          </w:p>
        </w:tc>
        <w:tc>
          <w:tcPr>
            <w:tcW w:w="9095" w:type="dxa"/>
          </w:tcPr>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）油罐车应熄火并拉上手刹、于车轮处放置轮挡；</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灌装作业前应确保车辆静电接地连接紧实；</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灌装作业</w:t>
            </w:r>
            <w:r>
              <w:rPr>
                <w:rFonts w:hint="eastAsia" w:ascii="仿宋" w:hAnsi="仿宋" w:eastAsia="仿宋" w:cs="仿宋"/>
                <w:kern w:val="0"/>
                <w:sz w:val="24"/>
                <w:lang w:val="zh-CN"/>
              </w:rPr>
              <w:t>中，必须有专人在现场监视，并禁止</w:t>
            </w:r>
            <w:r>
              <w:rPr>
                <w:rFonts w:hint="eastAsia" w:ascii="仿宋" w:hAnsi="仿宋" w:eastAsia="仿宋" w:cs="仿宋"/>
                <w:kern w:val="0"/>
                <w:sz w:val="24"/>
              </w:rPr>
              <w:t>其他</w:t>
            </w:r>
            <w:r>
              <w:rPr>
                <w:rFonts w:hint="eastAsia" w:ascii="仿宋" w:hAnsi="仿宋" w:eastAsia="仿宋" w:cs="仿宋"/>
                <w:kern w:val="0"/>
                <w:sz w:val="24"/>
                <w:lang w:val="zh-CN"/>
              </w:rPr>
              <w:t>车辆及非工作人员进入</w:t>
            </w:r>
            <w:r>
              <w:rPr>
                <w:rFonts w:hint="eastAsia" w:ascii="仿宋" w:hAnsi="仿宋" w:eastAsia="仿宋" w:cs="仿宋"/>
                <w:kern w:val="0"/>
                <w:sz w:val="24"/>
              </w:rPr>
              <w:t>装作业</w:t>
            </w:r>
            <w:r>
              <w:rPr>
                <w:rFonts w:hint="eastAsia" w:ascii="仿宋" w:hAnsi="仿宋" w:eastAsia="仿宋" w:cs="仿宋"/>
                <w:kern w:val="0"/>
                <w:sz w:val="24"/>
                <w:lang w:val="zh-CN"/>
              </w:rPr>
              <w:t>区；</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作业人员应穿戴防静电服，禁止携带非防爆手机</w:t>
            </w:r>
          </w:p>
        </w:tc>
        <w:tc>
          <w:tcPr>
            <w:tcW w:w="1350" w:type="dxa"/>
            <w:vMerge w:val="continue"/>
          </w:tcPr>
          <w:p>
            <w:pPr>
              <w:rPr>
                <w:rFonts w:ascii="仿宋" w:hAnsi="仿宋" w:eastAsia="仿宋" w:cs="仿宋"/>
                <w:sz w:val="24"/>
              </w:rPr>
            </w:pPr>
          </w:p>
        </w:tc>
        <w:tc>
          <w:tcPr>
            <w:tcW w:w="892"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5</w:t>
            </w:r>
          </w:p>
        </w:tc>
        <w:tc>
          <w:tcPr>
            <w:tcW w:w="961"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应急救援</w:t>
            </w:r>
          </w:p>
        </w:tc>
        <w:tc>
          <w:tcPr>
            <w:tcW w:w="1169"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5.1应急救援物资配备</w:t>
            </w:r>
          </w:p>
        </w:tc>
        <w:tc>
          <w:tcPr>
            <w:tcW w:w="9095"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容量大于1000m³的其他甲B、乙、丙A类易燃、可燃液体地上立式储罐，应采用固定式泡沫灭火系统；</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当储罐采用固定式泡沫灭火系统时，尚应配置泡沫钩管、泡沫枪和消防水带等移动泡沫灭火用具；</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储罐区应设消防冷却水系统；</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油库应配备灭火器材，储罐组按防火堤内面积每400m2应配备1具8kg手提式干粉灭火器，计算超过6具时，可按6具配备；每个装车台应配置2具8kg手提式干粉灭火器；罐组、油泵站、消防泵房、变配电间、雨水支沟接主沟处各配备不少于2m³消防沙，汽车装卸场地配不少于1m³消防沙，消防桶、消防铲等工具采用铝合金或铜合金等不易产生火花的材料；四级及以上油库罐组、汽车装卸场地至少配4-6块灭火毯；</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w:t>
            </w:r>
            <w:r>
              <w:rPr>
                <w:rFonts w:hint="eastAsia" w:ascii="仿宋" w:hAnsi="仿宋" w:eastAsia="仿宋" w:cs="仿宋"/>
                <w:kern w:val="0"/>
                <w:sz w:val="24"/>
              </w:rPr>
              <w:t>应急救援物资应放在应急救援器材专用柜或指定地点，应急物资至少按以下要求配备：正压式空气呼吸器2套、轻型防化服2套、A型褐色过滤式防毒面具每人1具、手电筒（易燃易爆场所须配防爆型）当班人员每人1个、对讲机（易燃易爆场所须配防爆型）2个、急救包1个</w:t>
            </w:r>
          </w:p>
        </w:tc>
        <w:tc>
          <w:tcPr>
            <w:tcW w:w="1350" w:type="dxa"/>
            <w:vMerge w:val="restart"/>
          </w:tcPr>
          <w:p>
            <w:pPr>
              <w:rPr>
                <w:rFonts w:ascii="仿宋" w:hAnsi="仿宋" w:eastAsia="仿宋" w:cs="仿宋"/>
                <w:sz w:val="24"/>
              </w:rPr>
            </w:pPr>
          </w:p>
        </w:tc>
        <w:tc>
          <w:tcPr>
            <w:tcW w:w="892" w:type="dxa"/>
            <w:vMerge w:val="restar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Merge w:val="continue"/>
            <w:vAlign w:val="center"/>
          </w:tcPr>
          <w:p>
            <w:pPr>
              <w:tabs>
                <w:tab w:val="left" w:pos="420"/>
              </w:tabs>
              <w:rPr>
                <w:rFonts w:hint="eastAsia" w:ascii="仿宋" w:hAnsi="仿宋" w:eastAsia="仿宋" w:cs="仿宋"/>
                <w:kern w:val="0"/>
                <w:sz w:val="24"/>
              </w:rPr>
            </w:pPr>
          </w:p>
        </w:tc>
        <w:tc>
          <w:tcPr>
            <w:tcW w:w="961" w:type="dxa"/>
            <w:vMerge w:val="continue"/>
            <w:vAlign w:val="center"/>
          </w:tcPr>
          <w:p>
            <w:pPr>
              <w:tabs>
                <w:tab w:val="left" w:pos="420"/>
              </w:tabs>
              <w:rPr>
                <w:rFonts w:hint="eastAsia" w:ascii="仿宋" w:hAnsi="仿宋" w:eastAsia="仿宋" w:cs="仿宋"/>
                <w:kern w:val="0"/>
                <w:sz w:val="24"/>
              </w:rPr>
            </w:pPr>
          </w:p>
        </w:tc>
        <w:tc>
          <w:tcPr>
            <w:tcW w:w="1169"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5.2应急预案及演练</w:t>
            </w:r>
          </w:p>
        </w:tc>
        <w:tc>
          <w:tcPr>
            <w:tcW w:w="9095"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每年至少组织一次综合应急预案演练或者专项应急预案演练，每半年至少组织一次现场处置方案演练</w:t>
            </w:r>
          </w:p>
        </w:tc>
        <w:tc>
          <w:tcPr>
            <w:tcW w:w="1350" w:type="dxa"/>
            <w:vMerge w:val="continue"/>
          </w:tcPr>
          <w:p>
            <w:pPr>
              <w:jc w:val="center"/>
              <w:rPr>
                <w:rFonts w:ascii="仿宋" w:hAnsi="仿宋" w:eastAsia="仿宋" w:cs="仿宋"/>
                <w:kern w:val="0"/>
                <w:sz w:val="24"/>
              </w:rPr>
            </w:pPr>
          </w:p>
        </w:tc>
        <w:tc>
          <w:tcPr>
            <w:tcW w:w="892" w:type="dxa"/>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6</w:t>
            </w:r>
          </w:p>
        </w:tc>
        <w:tc>
          <w:tcPr>
            <w:tcW w:w="2130" w:type="dxa"/>
            <w:gridSpan w:val="2"/>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安全检查及隐患治理</w:t>
            </w:r>
          </w:p>
        </w:tc>
        <w:tc>
          <w:tcPr>
            <w:tcW w:w="9095"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油库</w:t>
            </w:r>
            <w:r>
              <w:rPr>
                <w:rFonts w:hint="eastAsia" w:ascii="仿宋" w:hAnsi="仿宋" w:eastAsia="仿宋" w:cs="仿宋"/>
                <w:kern w:val="0"/>
                <w:sz w:val="24"/>
                <w:lang w:val="zh-CN"/>
              </w:rPr>
              <w:t>应定期开展安全检查及事故隐患排查，</w:t>
            </w:r>
            <w:r>
              <w:rPr>
                <w:rFonts w:hint="eastAsia" w:ascii="仿宋" w:hAnsi="仿宋" w:eastAsia="仿宋" w:cs="仿宋"/>
                <w:kern w:val="0"/>
                <w:sz w:val="24"/>
              </w:rPr>
              <w:t>建立隐患管理台帐，明确整改负责人、整改时限等要求，</w:t>
            </w:r>
            <w:r>
              <w:rPr>
                <w:rFonts w:hint="eastAsia" w:ascii="仿宋" w:hAnsi="仿宋" w:eastAsia="仿宋" w:cs="仿宋"/>
                <w:kern w:val="0"/>
                <w:sz w:val="24"/>
                <w:lang w:val="zh-CN"/>
              </w:rPr>
              <w:t>及时消除隐患，</w:t>
            </w:r>
            <w:r>
              <w:rPr>
                <w:rFonts w:hint="eastAsia" w:ascii="仿宋" w:hAnsi="仿宋" w:eastAsia="仿宋" w:cs="仿宋"/>
                <w:kern w:val="0"/>
                <w:sz w:val="24"/>
              </w:rPr>
              <w:t>符合以下要求：</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每班巡检至少应包括配电设备、电气设备、仪表等是否完好，油台发油设备、油气回收设备、罐区油罐及附件、收发油管线等设备设施是否完好有效，是否滴渗等内容；</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）每周至少对柴油机、发电机、消防泵、阀门、油罐及附件、装卸油设备、自动化设备等的温度、压力、完好性、有效性开展一次外观、动态、静态检查；</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）每半月至少对灭火器、应急灯的完好性和有效性开展一次检查；</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4</w:t>
            </w:r>
            <w:r>
              <w:rPr>
                <w:rFonts w:hint="eastAsia" w:ascii="仿宋" w:hAnsi="仿宋" w:eastAsia="仿宋" w:cs="仿宋"/>
                <w:kern w:val="0"/>
                <w:sz w:val="24"/>
                <w:lang w:val="zh-CN"/>
              </w:rPr>
              <w:t>）每月至少对电动阀、机房、电脑、备用应急器材、可燃气体探头的完好性和有效性开展一次检查；</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w:t>
            </w:r>
            <w:r>
              <w:rPr>
                <w:rFonts w:hint="eastAsia" w:ascii="仿宋" w:hAnsi="仿宋" w:eastAsia="仿宋" w:cs="仿宋"/>
                <w:kern w:val="0"/>
                <w:sz w:val="24"/>
              </w:rPr>
              <w:t>主要负责人至少每月按照《现场安全重点检查指引》及本重点清单内容组织一次全面隐患排查</w:t>
            </w:r>
            <w:r>
              <w:rPr>
                <w:rFonts w:hint="eastAsia" w:ascii="仿宋" w:hAnsi="仿宋" w:eastAsia="仿宋" w:cs="仿宋"/>
                <w:kern w:val="0"/>
                <w:sz w:val="24"/>
                <w:lang w:val="zh-CN"/>
              </w:rPr>
              <w:t>；</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6</w:t>
            </w:r>
            <w:r>
              <w:rPr>
                <w:rFonts w:hint="eastAsia" w:ascii="仿宋" w:hAnsi="仿宋" w:eastAsia="仿宋" w:cs="仿宋"/>
                <w:kern w:val="0"/>
                <w:sz w:val="24"/>
                <w:lang w:val="zh-CN"/>
              </w:rPr>
              <w:t>）每季度至少对消防栓定期出水、消防管线竖管排渣、消防冷却装置定期冲洗、消防枪、油罐放水阀门、进出口阀门、油气回收设备、不间断电源开展一次完整性和有效性测试；</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7</w:t>
            </w:r>
            <w:r>
              <w:rPr>
                <w:rFonts w:hint="eastAsia" w:ascii="仿宋" w:hAnsi="仿宋" w:eastAsia="仿宋" w:cs="仿宋"/>
                <w:kern w:val="0"/>
                <w:sz w:val="24"/>
                <w:lang w:val="zh-CN"/>
              </w:rPr>
              <w:t>）每半年至少对接地装置(发油台、油罐区、污水处理、油泵房)、配电房绝缘电阻开展一次电阻测量；</w:t>
            </w:r>
          </w:p>
          <w:p>
            <w:pPr>
              <w:tabs>
                <w:tab w:val="left" w:pos="420"/>
              </w:tabs>
              <w:rPr>
                <w:rFonts w:hint="eastAsia" w:ascii="仿宋" w:hAnsi="仿宋" w:eastAsia="仿宋" w:cs="仿宋"/>
                <w:kern w:val="0"/>
                <w:sz w:val="24"/>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8</w:t>
            </w:r>
            <w:r>
              <w:rPr>
                <w:rFonts w:hint="eastAsia" w:ascii="仿宋" w:hAnsi="仿宋" w:eastAsia="仿宋" w:cs="仿宋"/>
                <w:kern w:val="0"/>
                <w:sz w:val="24"/>
                <w:lang w:val="zh-CN"/>
              </w:rPr>
              <w:t>）每年度至少对低压配电装置、液位仪（伺服、浮子、雷达、磁浮式）、浪涌保护器、工艺管道（埋地）、服务器、RTU机柜、油罐基础等开展一次完好性和有效性检查</w:t>
            </w:r>
          </w:p>
        </w:tc>
        <w:tc>
          <w:tcPr>
            <w:tcW w:w="1350" w:type="dxa"/>
          </w:tcPr>
          <w:p>
            <w:pPr>
              <w:jc w:val="center"/>
              <w:rPr>
                <w:rFonts w:ascii="仿宋" w:hAnsi="仿宋" w:eastAsia="仿宋" w:cs="仿宋"/>
                <w:kern w:val="0"/>
                <w:sz w:val="24"/>
              </w:rPr>
            </w:pPr>
          </w:p>
        </w:tc>
        <w:tc>
          <w:tcPr>
            <w:tcW w:w="892" w:type="dxa"/>
          </w:tcPr>
          <w:p>
            <w:pPr>
              <w:jc w:val="center"/>
              <w:rPr>
                <w:rFonts w:ascii="仿宋" w:hAnsi="仿宋" w:eastAsia="仿宋" w:cs="仿宋"/>
                <w:kern w:val="0"/>
                <w:sz w:val="24"/>
              </w:rPr>
            </w:pPr>
          </w:p>
        </w:tc>
      </w:tr>
    </w:tbl>
    <w:p>
      <w:pPr>
        <w:spacing w:line="20" w:lineRule="exact"/>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06D"/>
    <w:multiLevelType w:val="multilevel"/>
    <w:tmpl w:val="0BB8406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5C81"/>
    <w:rsid w:val="000147D3"/>
    <w:rsid w:val="00037714"/>
    <w:rsid w:val="000543A3"/>
    <w:rsid w:val="00063061"/>
    <w:rsid w:val="000655C2"/>
    <w:rsid w:val="000824C9"/>
    <w:rsid w:val="000A5757"/>
    <w:rsid w:val="000B0046"/>
    <w:rsid w:val="000B40FE"/>
    <w:rsid w:val="000D519F"/>
    <w:rsid w:val="0011400C"/>
    <w:rsid w:val="001344F5"/>
    <w:rsid w:val="00134DB9"/>
    <w:rsid w:val="00145826"/>
    <w:rsid w:val="00196896"/>
    <w:rsid w:val="001C198E"/>
    <w:rsid w:val="001D29F6"/>
    <w:rsid w:val="0020140C"/>
    <w:rsid w:val="002159C0"/>
    <w:rsid w:val="00224596"/>
    <w:rsid w:val="00251671"/>
    <w:rsid w:val="00295D2D"/>
    <w:rsid w:val="002A5AF3"/>
    <w:rsid w:val="002D3A75"/>
    <w:rsid w:val="002E708B"/>
    <w:rsid w:val="00307A67"/>
    <w:rsid w:val="00310108"/>
    <w:rsid w:val="0033638E"/>
    <w:rsid w:val="00337AA6"/>
    <w:rsid w:val="00360C73"/>
    <w:rsid w:val="003660E8"/>
    <w:rsid w:val="00393BF0"/>
    <w:rsid w:val="003B6DD6"/>
    <w:rsid w:val="003D40E4"/>
    <w:rsid w:val="004057CF"/>
    <w:rsid w:val="004264FA"/>
    <w:rsid w:val="00443E2E"/>
    <w:rsid w:val="004B0E0E"/>
    <w:rsid w:val="004C2E88"/>
    <w:rsid w:val="00513922"/>
    <w:rsid w:val="00552F2E"/>
    <w:rsid w:val="00575E7B"/>
    <w:rsid w:val="0060267F"/>
    <w:rsid w:val="006356D6"/>
    <w:rsid w:val="006375F6"/>
    <w:rsid w:val="00677647"/>
    <w:rsid w:val="00684371"/>
    <w:rsid w:val="00697128"/>
    <w:rsid w:val="006979EF"/>
    <w:rsid w:val="006B1997"/>
    <w:rsid w:val="006D4D06"/>
    <w:rsid w:val="006E0941"/>
    <w:rsid w:val="007154F2"/>
    <w:rsid w:val="00755C81"/>
    <w:rsid w:val="00782A21"/>
    <w:rsid w:val="007843D6"/>
    <w:rsid w:val="007846F2"/>
    <w:rsid w:val="00795B99"/>
    <w:rsid w:val="007A6CD1"/>
    <w:rsid w:val="007A76E1"/>
    <w:rsid w:val="007C4CE6"/>
    <w:rsid w:val="00802F66"/>
    <w:rsid w:val="008054C9"/>
    <w:rsid w:val="008204CB"/>
    <w:rsid w:val="008240BC"/>
    <w:rsid w:val="008409C4"/>
    <w:rsid w:val="00840D76"/>
    <w:rsid w:val="00862748"/>
    <w:rsid w:val="00881F10"/>
    <w:rsid w:val="00885C2C"/>
    <w:rsid w:val="008A297D"/>
    <w:rsid w:val="008B68F5"/>
    <w:rsid w:val="008B7FA6"/>
    <w:rsid w:val="008C5F07"/>
    <w:rsid w:val="008F233C"/>
    <w:rsid w:val="00915E91"/>
    <w:rsid w:val="009270E0"/>
    <w:rsid w:val="009448A4"/>
    <w:rsid w:val="00966E0B"/>
    <w:rsid w:val="00971F99"/>
    <w:rsid w:val="00990AEE"/>
    <w:rsid w:val="00993F74"/>
    <w:rsid w:val="009B54A3"/>
    <w:rsid w:val="00A46757"/>
    <w:rsid w:val="00AA478C"/>
    <w:rsid w:val="00B0736A"/>
    <w:rsid w:val="00B248F2"/>
    <w:rsid w:val="00B852D1"/>
    <w:rsid w:val="00BA766C"/>
    <w:rsid w:val="00BB2A97"/>
    <w:rsid w:val="00BD29EB"/>
    <w:rsid w:val="00BF0821"/>
    <w:rsid w:val="00C6406F"/>
    <w:rsid w:val="00C748D5"/>
    <w:rsid w:val="00C87BF9"/>
    <w:rsid w:val="00CC3912"/>
    <w:rsid w:val="00CC491A"/>
    <w:rsid w:val="00D01BEC"/>
    <w:rsid w:val="00D229A8"/>
    <w:rsid w:val="00D24085"/>
    <w:rsid w:val="00D30626"/>
    <w:rsid w:val="00D40ACC"/>
    <w:rsid w:val="00D528D1"/>
    <w:rsid w:val="00D87A70"/>
    <w:rsid w:val="00D907C1"/>
    <w:rsid w:val="00D93881"/>
    <w:rsid w:val="00D94483"/>
    <w:rsid w:val="00DA109F"/>
    <w:rsid w:val="00DB648A"/>
    <w:rsid w:val="00E1211A"/>
    <w:rsid w:val="00E344D3"/>
    <w:rsid w:val="00E36D46"/>
    <w:rsid w:val="00E37CBF"/>
    <w:rsid w:val="00F22E68"/>
    <w:rsid w:val="00F32668"/>
    <w:rsid w:val="00F4165E"/>
    <w:rsid w:val="00F62145"/>
    <w:rsid w:val="00F64104"/>
    <w:rsid w:val="00F84017"/>
    <w:rsid w:val="00FB321F"/>
    <w:rsid w:val="00FE49C4"/>
    <w:rsid w:val="04571ABA"/>
    <w:rsid w:val="06A2136E"/>
    <w:rsid w:val="0B5D5831"/>
    <w:rsid w:val="0C921A70"/>
    <w:rsid w:val="0FA91DBF"/>
    <w:rsid w:val="11356862"/>
    <w:rsid w:val="122D1F74"/>
    <w:rsid w:val="122E49A2"/>
    <w:rsid w:val="13BA5CD7"/>
    <w:rsid w:val="162916BB"/>
    <w:rsid w:val="17547AEB"/>
    <w:rsid w:val="1BF041A4"/>
    <w:rsid w:val="1CB2417D"/>
    <w:rsid w:val="27680657"/>
    <w:rsid w:val="2ED42300"/>
    <w:rsid w:val="2F0C2EB1"/>
    <w:rsid w:val="2F7B27F4"/>
    <w:rsid w:val="34634EEE"/>
    <w:rsid w:val="37270589"/>
    <w:rsid w:val="3D7F4838"/>
    <w:rsid w:val="4CCE09EF"/>
    <w:rsid w:val="4D703BDA"/>
    <w:rsid w:val="4E20070D"/>
    <w:rsid w:val="521F4EC2"/>
    <w:rsid w:val="524B1712"/>
    <w:rsid w:val="560E60E4"/>
    <w:rsid w:val="5BB246D2"/>
    <w:rsid w:val="5EA05C0E"/>
    <w:rsid w:val="61F70C91"/>
    <w:rsid w:val="63753EC2"/>
    <w:rsid w:val="669F4632"/>
    <w:rsid w:val="6AB506AA"/>
    <w:rsid w:val="6AF80D92"/>
    <w:rsid w:val="6BE75703"/>
    <w:rsid w:val="6D30333E"/>
    <w:rsid w:val="72AE4C3D"/>
    <w:rsid w:val="73F87AE5"/>
    <w:rsid w:val="751C60D3"/>
    <w:rsid w:val="76487072"/>
    <w:rsid w:val="7A0365D1"/>
    <w:rsid w:val="7A1731DA"/>
    <w:rsid w:val="7D0C3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447</Words>
  <Characters>2548</Characters>
  <Lines>21</Lines>
  <Paragraphs>5</Paragraphs>
  <TotalTime>68</TotalTime>
  <ScaleCrop>false</ScaleCrop>
  <LinksUpToDate>false</LinksUpToDate>
  <CharactersWithSpaces>2990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2020-06-14T14:13:00Z</dcterms:created>
  <dc:creator>lizh</dc:creator>
  <cp:lastModifiedBy>于新军</cp:lastModifiedBy>
  <dcterms:modified xsi:type="dcterms:W3CDTF">2020-10-16T04:46:54Z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