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bookmarkStart w:id="0" w:name="_Hlk42628737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3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bookmarkEnd w:id="0"/>
    <w:p>
      <w:pPr>
        <w:jc w:val="center"/>
        <w:rPr>
          <w:rFonts w:ascii="方正小标宋简体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/>
          <w:bCs/>
          <w:sz w:val="44"/>
          <w:szCs w:val="44"/>
        </w:rPr>
        <w:t>深圳市危险化学品企业安全生产标准化三级达标审查重点清单（试行）</w:t>
      </w:r>
    </w:p>
    <w:p>
      <w:pPr>
        <w:jc w:val="center"/>
        <w:rPr>
          <w:rFonts w:ascii="方正小标宋简体" w:hAnsi="Times New Roman" w:eastAsia="方正小标宋简体" w:cs="方正小标宋简体"/>
          <w:b/>
          <w:bCs/>
          <w:spacing w:val="-1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/>
          <w:bCs/>
          <w:spacing w:val="-10"/>
          <w:sz w:val="44"/>
          <w:szCs w:val="44"/>
        </w:rPr>
        <w:t>（加油站）</w:t>
      </w:r>
    </w:p>
    <w:p>
      <w:pPr>
        <w:spacing w:line="56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审 查 说 明</w:t>
      </w:r>
    </w:p>
    <w:p>
      <w:pPr>
        <w:pStyle w:val="11"/>
        <w:numPr>
          <w:ilvl w:val="0"/>
          <w:numId w:val="1"/>
        </w:numPr>
        <w:tabs>
          <w:tab w:val="left" w:pos="851"/>
        </w:tabs>
        <w:spacing w:line="400" w:lineRule="exact"/>
        <w:ind w:left="839" w:hanging="357" w:firstLine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本重点清单依据《</w:t>
      </w:r>
      <w:r>
        <w:rPr>
          <w:rFonts w:ascii="仿宋_GB2312" w:eastAsia="仿宋_GB2312"/>
          <w:sz w:val="24"/>
        </w:rPr>
        <w:t>广东省加油站安全生产标准化三级达标专项评审标准（试行）</w:t>
      </w:r>
      <w:r>
        <w:rPr>
          <w:rFonts w:hint="eastAsia" w:ascii="仿宋_GB2312" w:eastAsia="仿宋_GB2312"/>
          <w:sz w:val="24"/>
        </w:rPr>
        <w:t>》《加油站现场安全重点检查指引》</w:t>
      </w:r>
      <w:r>
        <w:rPr>
          <w:rFonts w:hint="eastAsia" w:ascii="仿宋_GB2312" w:eastAsia="仿宋_GB2312"/>
          <w:sz w:val="24"/>
          <w:lang w:eastAsia="zh-CN"/>
        </w:rPr>
        <w:t>等</w:t>
      </w:r>
      <w:r>
        <w:rPr>
          <w:rFonts w:hint="eastAsia" w:ascii="仿宋_GB2312" w:eastAsia="仿宋_GB2312"/>
          <w:sz w:val="24"/>
        </w:rPr>
        <w:t>编制，适用于深圳市加油站安全生产标准化三级达标审查工作</w:t>
      </w:r>
      <w:r>
        <w:rPr>
          <w:rFonts w:hint="eastAsia" w:ascii="仿宋_GB2312" w:eastAsia="仿宋_GB2312"/>
          <w:sz w:val="24"/>
          <w:lang w:eastAsia="zh-CN"/>
        </w:rPr>
        <w:t>，引导</w:t>
      </w:r>
      <w:r>
        <w:rPr>
          <w:rFonts w:hint="eastAsia" w:ascii="仿宋_GB2312" w:eastAsia="仿宋_GB2312"/>
          <w:sz w:val="24"/>
        </w:rPr>
        <w:t>企业重点管控现场安全风险</w:t>
      </w:r>
      <w:r>
        <w:rPr>
          <w:rFonts w:hint="eastAsia" w:ascii="仿宋_GB2312" w:eastAsia="仿宋_GB2312"/>
          <w:sz w:val="24"/>
        </w:rPr>
        <w:t>，持续改进、自我提升</w:t>
      </w:r>
      <w:r>
        <w:rPr>
          <w:rFonts w:hint="eastAsia" w:ascii="仿宋_GB2312" w:eastAsia="仿宋_GB2312"/>
          <w:sz w:val="24"/>
          <w:lang w:eastAsia="zh-CN"/>
        </w:rPr>
        <w:t>安全管理水平</w:t>
      </w:r>
      <w:r>
        <w:rPr>
          <w:rFonts w:hint="eastAsia" w:ascii="仿宋_GB2312" w:eastAsia="仿宋_GB2312"/>
          <w:sz w:val="24"/>
        </w:rPr>
        <w:t>。</w:t>
      </w:r>
    </w:p>
    <w:p>
      <w:pPr>
        <w:pStyle w:val="11"/>
        <w:numPr>
          <w:ilvl w:val="0"/>
          <w:numId w:val="1"/>
        </w:numPr>
        <w:tabs>
          <w:tab w:val="left" w:pos="851"/>
        </w:tabs>
        <w:spacing w:line="400" w:lineRule="exact"/>
        <w:ind w:left="839" w:hanging="357" w:firstLineChars="0"/>
        <w:jc w:val="left"/>
        <w:rPr>
          <w:rFonts w:ascii="仿宋_GB2312" w:eastAsia="仿宋_GB2312"/>
          <w:sz w:val="24"/>
        </w:rPr>
      </w:pPr>
      <w:bookmarkStart w:id="1" w:name="_Hlk42628729"/>
      <w:r>
        <w:rPr>
          <w:rFonts w:hint="eastAsia" w:ascii="仿宋_GB2312" w:eastAsia="仿宋_GB2312"/>
          <w:sz w:val="24"/>
        </w:rPr>
        <w:t>本重点清单所列审查事项均为否决项；现场审查时，安全生产标准化三级达标企业应符合全部审查事项对应的审查内容</w:t>
      </w:r>
      <w:r>
        <w:rPr>
          <w:rFonts w:hint="eastAsia" w:ascii="仿宋_GB2312" w:eastAsia="仿宋_GB2312"/>
          <w:sz w:val="24"/>
          <w:lang w:eastAsia="zh-CN"/>
        </w:rPr>
        <w:t>要求</w:t>
      </w:r>
      <w:r>
        <w:rPr>
          <w:rFonts w:hint="eastAsia" w:ascii="仿宋_GB2312" w:eastAsia="仿宋_GB2312"/>
          <w:sz w:val="24"/>
        </w:rPr>
        <w:t>，其中被审查企业不涉及的审查内容列为缺项，不纳入审查。</w:t>
      </w:r>
      <w:bookmarkEnd w:id="1"/>
    </w:p>
    <w:tbl>
      <w:tblPr>
        <w:tblStyle w:val="10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32"/>
        <w:gridCol w:w="1273"/>
        <w:gridCol w:w="7618"/>
        <w:gridCol w:w="2003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审查事项</w:t>
            </w:r>
          </w:p>
        </w:tc>
        <w:tc>
          <w:tcPr>
            <w:tcW w:w="7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审查内容</w:t>
            </w:r>
          </w:p>
        </w:tc>
        <w:tc>
          <w:tcPr>
            <w:tcW w:w="20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是否符合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风险辨识和分级管控</w:t>
            </w:r>
          </w:p>
        </w:tc>
        <w:tc>
          <w:tcPr>
            <w:tcW w:w="7618" w:type="dxa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（1）加油站应建立风险辨识和分级管控制度，明确组织机构、职责分工、工作程序、辨识方法、辨识频次、风险分级、风险评价、分级管控措施等要求；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（2）加油站应严格执行制度要求，设置岗位安全风险告知卡，至少每半年更新安全风险清单，每班交接班记录说明安全隐患情况</w:t>
            </w:r>
          </w:p>
        </w:tc>
        <w:tc>
          <w:tcPr>
            <w:tcW w:w="2003" w:type="dxa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安全生产教育和培训</w:t>
            </w:r>
          </w:p>
        </w:tc>
        <w:tc>
          <w:tcPr>
            <w:tcW w:w="7618" w:type="dxa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（1）应对新员工进行三级安全培训教育，并经考核合格后方可上岗；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（2）从业人员每年应接受再培训，再培训时间不得少于20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学时；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（3）检维修前应对检维修人员进行作业前交底、安全培训教育</w:t>
            </w:r>
          </w:p>
        </w:tc>
        <w:tc>
          <w:tcPr>
            <w:tcW w:w="2003" w:type="dxa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Merge w:val="restart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设备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设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施及工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艺安全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3.1加油区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加油枪油气回收罩应完整无破损，拉断阀完好；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（2）以正压（潜油泵）供油的加油机，其底部的供油管道上应设剪切阀，剪切阀表面应无泄漏痕迹，固定杆不应高于加油机底座；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加油机内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真空泵外壳、接线盒外壳、加油机外壳、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配线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金属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保护管末端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均应接地；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（4）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位于加油岛端部的加油机附近应设置高度不小于0.5m的防撞栏；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加油岛、加油机上不应放置除消防器材外的其它物品，燃油宝可少量放置但不应超过10瓶</w:t>
            </w:r>
          </w:p>
        </w:tc>
        <w:tc>
          <w:tcPr>
            <w:tcW w:w="2003" w:type="dxa"/>
            <w:vMerge w:val="restart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3.2油罐区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人孔井内潜油泵电缆入井端、液位仪电缆入井端、接线盒外壳接地端口均应接地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人孔井内油罐工艺管道上的法兰、胶管两端等连接处应用金属线跨接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并确保连接紧实，当法兰的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连接螺栓不少于5根时，可不跨接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）设置在同一卸油口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管道间距小于100mm时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应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用金属线跨接；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）油罐车卸车场地应设卸车时用的防静电接地仪，防静电接地仪接地端不应设置在爆炸危险Ⅰ区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，静电夹应完好可正常使用</w:t>
            </w:r>
          </w:p>
        </w:tc>
        <w:tc>
          <w:tcPr>
            <w:tcW w:w="2003" w:type="dxa"/>
            <w:vMerge w:val="continue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3.3辅助服务区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）油罐高液位报警装置应设置在营业厅、值班室等工作人员便于观察的地点，不得放置在箱内；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）营业厅内加油机紧急切断系统手动开关应设置在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现场工作人员容易接近的位置，不得被货物阻挡；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（3）站房内开关、插座和照明灯具不应直接安装在可燃材料上；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）洗车区开关、插座、配电箱等应设置防水措施或与洗车作业区分隔，电气设备周围无明显积水，电气线路应穿管保护；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（5）洗车区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空压机、水泵、吸尘器等用电设备以及电源插座应安装末端漏电保护开关</w:t>
            </w:r>
          </w:p>
        </w:tc>
        <w:tc>
          <w:tcPr>
            <w:tcW w:w="2003" w:type="dxa"/>
            <w:vMerge w:val="continue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Merge w:val="restart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作业安全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特殊作业安全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动火作业、进入受限空间作业、破土作业、高处作业、吊装作业等特殊作业应实施作业许可管理，严格履行审批手续，其中动火作业、进入受限空间作业应由主要负责人审批，属于分支机构的加油站应上升至公司主要负责人审批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（2）特殊作业现场设置公示牌，内容至少包含施工方案、技术交底、培训记录、作业票，外来施工还应增加进站审批手续；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（3）特殊作业现场配备相应安全防护用品（具）、消防设施及器材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（4）特殊作业监护人员应与作业票上的监护员一致，按要求进行现场监护，不得随意离开监护岗位</w:t>
            </w:r>
          </w:p>
        </w:tc>
        <w:tc>
          <w:tcPr>
            <w:tcW w:w="2003" w:type="dxa"/>
            <w:vMerge w:val="restart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加油作业安全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（1）加油人员应穿戴防静电服；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（2）汽车应熄火加油，加油过程中禁止打电话；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（3）禁止自助加油，开展试点自助加油的应全程有加油站人员监护</w:t>
            </w:r>
          </w:p>
        </w:tc>
        <w:tc>
          <w:tcPr>
            <w:tcW w:w="2003" w:type="dxa"/>
            <w:vMerge w:val="continue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卸油作业安全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（1）油罐车应熄火并拉上手刹，于车轮处放置轮挡；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确保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油罐车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静电接地连接有效，稳油15min后连接卸油软管；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卸油作业必须有专人在现场监视，禁止其它车辆及非工作人员进入卸油作业区</w:t>
            </w:r>
          </w:p>
        </w:tc>
        <w:tc>
          <w:tcPr>
            <w:tcW w:w="2003" w:type="dxa"/>
            <w:vMerge w:val="continue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220" w:type="dxa"/>
            <w:vMerge w:val="continue"/>
          </w:tcPr>
          <w:p>
            <w:pPr>
              <w:tabs>
                <w:tab w:val="left" w:pos="420"/>
              </w:tabs>
              <w:ind w:left="425" w:hanging="425"/>
              <w:rPr>
                <w:rFonts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Merge w:val="restart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应急救援</w:t>
            </w:r>
          </w:p>
        </w:tc>
        <w:tc>
          <w:tcPr>
            <w:tcW w:w="1273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应急救援物资配备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（1）加油站应配置2m3消防沙，消防沙应干燥疏松并有防雨措施；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（2）消防桶、消防铲等工具采用铝合金或铜合金等不易产生火花的材料；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（3）加油作业区、卸油作业区应配置灭火毯，一、二级加油站至少5块，三级加油站至少2块；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（4）加油机应配置灭火器，每2台加油机应不少于2具4kg手提式干粉灭火器或1具4kg手提式干粉灭火器和1具6L泡沫灭火器，加油机不足2台按2台计算；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（5）卸油作业区应至少配置1台不小于35kg推车式干粉灭火器，露天放置的应设保护罩</w:t>
            </w:r>
          </w:p>
        </w:tc>
        <w:tc>
          <w:tcPr>
            <w:tcW w:w="2003" w:type="dxa"/>
            <w:vMerge w:val="restart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.2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应急预案及演练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每年至少组织一次综合应急预案演练或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kern w:val="0"/>
                <w:sz w:val="24"/>
              </w:rPr>
              <w:t>者专项应急预案演练，每半年至少组织一次现场处置方案演练</w:t>
            </w:r>
          </w:p>
        </w:tc>
        <w:tc>
          <w:tcPr>
            <w:tcW w:w="2003" w:type="dxa"/>
            <w:vMerge w:val="continue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</w:tcPr>
          <w:p>
            <w:pPr>
              <w:spacing w:line="320" w:lineRule="exact"/>
              <w:ind w:left="425" w:hanging="425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安全检查及隐患治理</w:t>
            </w:r>
          </w:p>
        </w:tc>
        <w:tc>
          <w:tcPr>
            <w:tcW w:w="7618" w:type="dxa"/>
            <w:vAlign w:val="center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加油站应定期开展安全检查及事故隐患排查，建立隐患管理台帐，明确整改负责人、整改时限等要求，及时消除隐患：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1）每班巡检至少应包括加油机、卸油口、人孔井内各连接管线是否有渗漏油现象，有无积水积油，接地连接是否完好；灭火器材是否完好有效；排水沟是否有油污及堵塞；安全警示标识是否完好；配电房内无杂物；站房内物品摆放整齐未堵塞通道等内容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（2）每周至少对发电机房、配电房等场所开展一次检查，确保相关设备设施的完好性、有效性；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（3）每半月至少对灭火器、应急灯的完好性和有效性开展一次检查；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（4）每月至少对加油机、加油枪、防静电接地仪等开展一次接地电阻检测；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（5）每月至少对液位报警装置、剪切阀、加油机紧急切断系统、油气回收系统、漏电保护开关等开展一次性能检查或测试；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（6）主要负责人至少每月按照《现场安全重点检查指引》及本重点清单内容组织一次全面隐患排查；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（7）每季度至少对阻火器、呼吸阀开展一次外观完好性检查</w:t>
            </w:r>
          </w:p>
        </w:tc>
        <w:tc>
          <w:tcPr>
            <w:tcW w:w="2003" w:type="dxa"/>
          </w:tcPr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20" w:type="dxa"/>
          </w:tcPr>
          <w:p>
            <w:pPr>
              <w:spacing w:line="320" w:lineRule="exact"/>
              <w:ind w:left="425" w:hanging="425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tabs>
          <w:tab w:val="left" w:pos="420"/>
        </w:tabs>
        <w:rPr>
          <w:rFonts w:ascii="仿宋" w:hAnsi="仿宋" w:eastAsia="仿宋" w:cs="仿宋"/>
          <w:kern w:val="0"/>
          <w:sz w:val="2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06D"/>
    <w:multiLevelType w:val="multilevel"/>
    <w:tmpl w:val="0BB8406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C81"/>
    <w:rsid w:val="00032D7E"/>
    <w:rsid w:val="00051EA3"/>
    <w:rsid w:val="000543A3"/>
    <w:rsid w:val="000A5757"/>
    <w:rsid w:val="000E7488"/>
    <w:rsid w:val="00105838"/>
    <w:rsid w:val="0011400C"/>
    <w:rsid w:val="00115207"/>
    <w:rsid w:val="001315A0"/>
    <w:rsid w:val="00172A4C"/>
    <w:rsid w:val="00173230"/>
    <w:rsid w:val="00176BD2"/>
    <w:rsid w:val="00187C5B"/>
    <w:rsid w:val="001C198E"/>
    <w:rsid w:val="001D63EE"/>
    <w:rsid w:val="00201D10"/>
    <w:rsid w:val="002046CE"/>
    <w:rsid w:val="00205422"/>
    <w:rsid w:val="00211414"/>
    <w:rsid w:val="00215C1D"/>
    <w:rsid w:val="00230118"/>
    <w:rsid w:val="00293294"/>
    <w:rsid w:val="00295BDA"/>
    <w:rsid w:val="002B6C85"/>
    <w:rsid w:val="002C4CF3"/>
    <w:rsid w:val="002D0FDD"/>
    <w:rsid w:val="002F1C27"/>
    <w:rsid w:val="00301E95"/>
    <w:rsid w:val="003205B4"/>
    <w:rsid w:val="003346C4"/>
    <w:rsid w:val="003435FE"/>
    <w:rsid w:val="00362109"/>
    <w:rsid w:val="0039217F"/>
    <w:rsid w:val="003A44AB"/>
    <w:rsid w:val="00420528"/>
    <w:rsid w:val="00440072"/>
    <w:rsid w:val="00452722"/>
    <w:rsid w:val="004A12C8"/>
    <w:rsid w:val="004B068D"/>
    <w:rsid w:val="004C09CC"/>
    <w:rsid w:val="004C528C"/>
    <w:rsid w:val="004C6BFE"/>
    <w:rsid w:val="004D3D1A"/>
    <w:rsid w:val="005001DA"/>
    <w:rsid w:val="00510BE0"/>
    <w:rsid w:val="0051415D"/>
    <w:rsid w:val="005647A2"/>
    <w:rsid w:val="005B0887"/>
    <w:rsid w:val="005F7D79"/>
    <w:rsid w:val="00602322"/>
    <w:rsid w:val="00625262"/>
    <w:rsid w:val="00636C79"/>
    <w:rsid w:val="00643BBE"/>
    <w:rsid w:val="0068124C"/>
    <w:rsid w:val="0068599A"/>
    <w:rsid w:val="006D3D2A"/>
    <w:rsid w:val="00701EF8"/>
    <w:rsid w:val="00714716"/>
    <w:rsid w:val="00737CCC"/>
    <w:rsid w:val="00740D7E"/>
    <w:rsid w:val="00755C81"/>
    <w:rsid w:val="007809CB"/>
    <w:rsid w:val="0079539E"/>
    <w:rsid w:val="007C70D8"/>
    <w:rsid w:val="007D5A48"/>
    <w:rsid w:val="007E7422"/>
    <w:rsid w:val="00803CFF"/>
    <w:rsid w:val="008164F2"/>
    <w:rsid w:val="00860381"/>
    <w:rsid w:val="00883FA7"/>
    <w:rsid w:val="00885C2C"/>
    <w:rsid w:val="008917E9"/>
    <w:rsid w:val="008E5D63"/>
    <w:rsid w:val="009824AB"/>
    <w:rsid w:val="00986800"/>
    <w:rsid w:val="00986E9E"/>
    <w:rsid w:val="009C06C1"/>
    <w:rsid w:val="009D32F6"/>
    <w:rsid w:val="009F2846"/>
    <w:rsid w:val="009F59CF"/>
    <w:rsid w:val="00A3474A"/>
    <w:rsid w:val="00A640CA"/>
    <w:rsid w:val="00A821FF"/>
    <w:rsid w:val="00AA478C"/>
    <w:rsid w:val="00AD4EB6"/>
    <w:rsid w:val="00AE59DF"/>
    <w:rsid w:val="00AF57F4"/>
    <w:rsid w:val="00AF69C2"/>
    <w:rsid w:val="00B12DE2"/>
    <w:rsid w:val="00B20DD9"/>
    <w:rsid w:val="00B567AD"/>
    <w:rsid w:val="00B63116"/>
    <w:rsid w:val="00BB22BD"/>
    <w:rsid w:val="00C242FC"/>
    <w:rsid w:val="00C8619C"/>
    <w:rsid w:val="00CA50F5"/>
    <w:rsid w:val="00CC160D"/>
    <w:rsid w:val="00CE61F0"/>
    <w:rsid w:val="00D20B90"/>
    <w:rsid w:val="00D22FB2"/>
    <w:rsid w:val="00DC5ED5"/>
    <w:rsid w:val="00DE11EE"/>
    <w:rsid w:val="00DE3EE0"/>
    <w:rsid w:val="00DF1ABD"/>
    <w:rsid w:val="00E06653"/>
    <w:rsid w:val="00E30494"/>
    <w:rsid w:val="00E34B8A"/>
    <w:rsid w:val="00E702BB"/>
    <w:rsid w:val="00E83084"/>
    <w:rsid w:val="00E83129"/>
    <w:rsid w:val="00E92774"/>
    <w:rsid w:val="00EC438E"/>
    <w:rsid w:val="00EE31C6"/>
    <w:rsid w:val="00F05353"/>
    <w:rsid w:val="00F4165E"/>
    <w:rsid w:val="00F42C62"/>
    <w:rsid w:val="00F471D9"/>
    <w:rsid w:val="00F526C7"/>
    <w:rsid w:val="00F579CE"/>
    <w:rsid w:val="00F903D5"/>
    <w:rsid w:val="00F936F3"/>
    <w:rsid w:val="00F945B6"/>
    <w:rsid w:val="00FB1457"/>
    <w:rsid w:val="00FB1A84"/>
    <w:rsid w:val="00FE1975"/>
    <w:rsid w:val="0BE71067"/>
    <w:rsid w:val="0C1A04B7"/>
    <w:rsid w:val="0F892411"/>
    <w:rsid w:val="11FE7BA9"/>
    <w:rsid w:val="122D1F74"/>
    <w:rsid w:val="161D7060"/>
    <w:rsid w:val="162916BB"/>
    <w:rsid w:val="177E78D4"/>
    <w:rsid w:val="210F056C"/>
    <w:rsid w:val="2558284F"/>
    <w:rsid w:val="28D114ED"/>
    <w:rsid w:val="29EB49E0"/>
    <w:rsid w:val="2C31599E"/>
    <w:rsid w:val="2EDB6D5A"/>
    <w:rsid w:val="2F0C2EB1"/>
    <w:rsid w:val="323E1A45"/>
    <w:rsid w:val="394D4E60"/>
    <w:rsid w:val="397F7884"/>
    <w:rsid w:val="3ACB0ACE"/>
    <w:rsid w:val="3B51449A"/>
    <w:rsid w:val="3B8F4CF6"/>
    <w:rsid w:val="3CAF5AC6"/>
    <w:rsid w:val="3FB74D4A"/>
    <w:rsid w:val="41BE26B6"/>
    <w:rsid w:val="456522CA"/>
    <w:rsid w:val="4A131A52"/>
    <w:rsid w:val="4B1A4C4C"/>
    <w:rsid w:val="54EC7B99"/>
    <w:rsid w:val="5BB246D2"/>
    <w:rsid w:val="5C6321EF"/>
    <w:rsid w:val="5F6B1FC7"/>
    <w:rsid w:val="63753EC2"/>
    <w:rsid w:val="63760543"/>
    <w:rsid w:val="6A182624"/>
    <w:rsid w:val="6A3B6527"/>
    <w:rsid w:val="6B0E6682"/>
    <w:rsid w:val="6C525F98"/>
    <w:rsid w:val="6F2B2CC4"/>
    <w:rsid w:val="73F87AE5"/>
    <w:rsid w:val="746766CA"/>
    <w:rsid w:val="747B53D4"/>
    <w:rsid w:val="7767732F"/>
    <w:rsid w:val="7A8C6509"/>
    <w:rsid w:val="7F6E7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qFormat/>
    <w:uiPriority w:val="0"/>
    <w:rPr>
      <w:b/>
      <w:bCs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352</Words>
  <Characters>2013</Characters>
  <Lines>16</Lines>
  <Paragraphs>4</Paragraphs>
  <TotalTime>4</TotalTime>
  <ScaleCrop>false</ScaleCrop>
  <LinksUpToDate>false</LinksUpToDate>
  <CharactersWithSpaces>2361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2020-06-14T14:13:00Z</dcterms:created>
  <dc:creator>lizh</dc:creator>
  <cp:lastModifiedBy>于新军</cp:lastModifiedBy>
  <cp:lastPrinted>2020-06-02T07:06:00Z</cp:lastPrinted>
  <dcterms:modified xsi:type="dcterms:W3CDTF">2020-10-16T07:17:51Z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