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方正小标宋简体"/>
          <w:sz w:val="32"/>
          <w:szCs w:val="32"/>
        </w:rPr>
      </w:pPr>
      <w:bookmarkStart w:id="0" w:name="_Hlk42628737"/>
      <w:r>
        <w:rPr>
          <w:rFonts w:hint="eastAsia" w:ascii="黑体" w:hAnsi="黑体" w:eastAsia="黑体" w:cs="方正小标宋简体"/>
          <w:sz w:val="32"/>
          <w:szCs w:val="32"/>
        </w:rPr>
        <w:t>附件</w:t>
      </w:r>
      <w:r>
        <w:rPr>
          <w:rFonts w:ascii="黑体" w:hAnsi="黑体" w:eastAsia="黑体" w:cs="方正小标宋简体"/>
          <w:sz w:val="32"/>
          <w:szCs w:val="32"/>
        </w:rPr>
        <w:t>1</w:t>
      </w:r>
      <w:r>
        <w:rPr>
          <w:rFonts w:hint="eastAsia" w:ascii="黑体" w:hAnsi="黑体" w:eastAsia="黑体" w:cs="方正小标宋简体"/>
          <w:sz w:val="32"/>
          <w:szCs w:val="32"/>
        </w:rPr>
        <w:t>：</w:t>
      </w:r>
    </w:p>
    <w:bookmarkEnd w:id="0"/>
    <w:p>
      <w:pPr>
        <w:jc w:val="center"/>
        <w:rPr>
          <w:rFonts w:ascii="方正小标宋简体" w:hAnsi="Times New Roman" w:eastAsia="方正小标宋简体" w:cs="方正小标宋简体"/>
          <w:b/>
          <w:bCs/>
          <w:sz w:val="44"/>
          <w:szCs w:val="44"/>
        </w:rPr>
      </w:pPr>
      <w:r>
        <w:rPr>
          <w:rFonts w:hint="eastAsia" w:ascii="方正小标宋简体" w:hAnsi="Times New Roman" w:eastAsia="方正小标宋简体" w:cs="方正小标宋简体"/>
          <w:b/>
          <w:bCs/>
          <w:sz w:val="44"/>
          <w:szCs w:val="44"/>
        </w:rPr>
        <w:t>深圳市化工企业安全生产标准化三级达标审查重点清单（试行）</w:t>
      </w:r>
    </w:p>
    <w:p>
      <w:pPr>
        <w:spacing w:line="560" w:lineRule="exact"/>
        <w:jc w:val="center"/>
        <w:rPr>
          <w:rFonts w:ascii="黑体" w:hAnsi="黑体" w:eastAsia="黑体"/>
          <w:b/>
          <w:bCs/>
          <w:sz w:val="32"/>
          <w:szCs w:val="32"/>
        </w:rPr>
      </w:pPr>
      <w:r>
        <w:rPr>
          <w:rFonts w:hint="eastAsia" w:ascii="黑体" w:hAnsi="黑体" w:eastAsia="黑体"/>
          <w:b/>
          <w:bCs/>
          <w:sz w:val="32"/>
          <w:szCs w:val="32"/>
        </w:rPr>
        <w:t>审 查 说 明</w:t>
      </w:r>
    </w:p>
    <w:p>
      <w:pPr>
        <w:pStyle w:val="8"/>
        <w:numPr>
          <w:ilvl w:val="0"/>
          <w:numId w:val="1"/>
        </w:numPr>
        <w:tabs>
          <w:tab w:val="left" w:pos="851"/>
        </w:tabs>
        <w:spacing w:line="400" w:lineRule="exact"/>
        <w:ind w:left="839" w:hanging="357" w:firstLineChars="0"/>
        <w:jc w:val="left"/>
        <w:rPr>
          <w:rFonts w:ascii="仿宋_GB2312" w:eastAsia="仿宋_GB2312"/>
          <w:sz w:val="24"/>
        </w:rPr>
      </w:pPr>
      <w:r>
        <w:rPr>
          <w:rFonts w:hint="eastAsia" w:ascii="仿宋_GB2312" w:eastAsia="仿宋_GB2312"/>
          <w:sz w:val="24"/>
        </w:rPr>
        <w:t>本重点清单适用于深圳市化工企业安全生产标准化三级达标审查工作</w:t>
      </w:r>
      <w:r>
        <w:rPr>
          <w:rFonts w:hint="eastAsia" w:ascii="仿宋_GB2312" w:eastAsia="仿宋_GB2312"/>
          <w:sz w:val="24"/>
          <w:lang w:eastAsia="zh-CN"/>
        </w:rPr>
        <w:t>，引导</w:t>
      </w:r>
      <w:r>
        <w:rPr>
          <w:rFonts w:hint="eastAsia" w:ascii="仿宋_GB2312" w:eastAsia="仿宋_GB2312"/>
          <w:sz w:val="24"/>
        </w:rPr>
        <w:t>企业重点管控现场安全风险，持续改进、自我提升</w:t>
      </w:r>
      <w:r>
        <w:rPr>
          <w:rFonts w:hint="eastAsia" w:ascii="仿宋_GB2312" w:eastAsia="仿宋_GB2312"/>
          <w:sz w:val="24"/>
          <w:lang w:eastAsia="zh-CN"/>
        </w:rPr>
        <w:t>安全管理水平</w:t>
      </w:r>
      <w:bookmarkStart w:id="2" w:name="_GoBack"/>
      <w:bookmarkEnd w:id="2"/>
      <w:r>
        <w:rPr>
          <w:rFonts w:hint="eastAsia" w:ascii="仿宋_GB2312" w:eastAsia="仿宋_GB2312"/>
          <w:sz w:val="24"/>
        </w:rPr>
        <w:t>。</w:t>
      </w:r>
    </w:p>
    <w:p>
      <w:pPr>
        <w:pStyle w:val="8"/>
        <w:numPr>
          <w:ilvl w:val="0"/>
          <w:numId w:val="1"/>
        </w:numPr>
        <w:tabs>
          <w:tab w:val="left" w:pos="851"/>
        </w:tabs>
        <w:spacing w:line="400" w:lineRule="exact"/>
        <w:ind w:left="839" w:hanging="357" w:firstLineChars="0"/>
        <w:jc w:val="left"/>
        <w:rPr>
          <w:rFonts w:ascii="仿宋_GB2312" w:eastAsia="仿宋_GB2312"/>
          <w:sz w:val="24"/>
        </w:rPr>
      </w:pPr>
      <w:bookmarkStart w:id="1" w:name="_Hlk42628729"/>
      <w:r>
        <w:rPr>
          <w:rFonts w:hint="eastAsia" w:ascii="仿宋_GB2312" w:eastAsia="仿宋_GB2312"/>
          <w:sz w:val="24"/>
        </w:rPr>
        <w:t>本重点清单所列审查事项均为否决项；现场审查时，安全生产标准化三级达标企业应符合全部审查事项对应</w:t>
      </w:r>
      <w:r>
        <w:rPr>
          <w:rFonts w:hint="eastAsia" w:ascii="仿宋_GB2312" w:eastAsia="仿宋_GB2312"/>
          <w:sz w:val="24"/>
          <w:lang w:eastAsia="zh-CN"/>
        </w:rPr>
        <w:t>的</w:t>
      </w:r>
      <w:r>
        <w:rPr>
          <w:rFonts w:hint="eastAsia" w:ascii="仿宋_GB2312" w:eastAsia="仿宋_GB2312"/>
          <w:sz w:val="24"/>
        </w:rPr>
        <w:t>审查内容</w:t>
      </w:r>
      <w:r>
        <w:rPr>
          <w:rFonts w:hint="eastAsia" w:ascii="仿宋_GB2312" w:eastAsia="仿宋_GB2312"/>
          <w:sz w:val="24"/>
          <w:lang w:eastAsia="zh-CN"/>
        </w:rPr>
        <w:t>要求</w:t>
      </w:r>
      <w:r>
        <w:rPr>
          <w:rFonts w:hint="eastAsia" w:ascii="仿宋_GB2312" w:eastAsia="仿宋_GB2312"/>
          <w:sz w:val="24"/>
        </w:rPr>
        <w:t>，其中被审查企业不涉及的审查内容列为缺项，不纳入审查。</w:t>
      </w:r>
      <w:bookmarkEnd w:id="1"/>
    </w:p>
    <w:tbl>
      <w:tblPr>
        <w:tblStyle w:val="7"/>
        <w:tblW w:w="13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704"/>
        <w:gridCol w:w="138"/>
        <w:gridCol w:w="1041"/>
        <w:gridCol w:w="8930"/>
        <w:gridCol w:w="1276"/>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blHeader/>
        </w:trPr>
        <w:tc>
          <w:tcPr>
            <w:tcW w:w="664" w:type="dxa"/>
            <w:vAlign w:val="center"/>
          </w:tcPr>
          <w:p>
            <w:pPr>
              <w:spacing w:line="320" w:lineRule="exact"/>
              <w:jc w:val="center"/>
              <w:rPr>
                <w:rFonts w:ascii="仿宋" w:hAnsi="仿宋" w:eastAsia="仿宋" w:cs="仿宋"/>
                <w:b/>
                <w:sz w:val="24"/>
              </w:rPr>
            </w:pPr>
            <w:r>
              <w:rPr>
                <w:rFonts w:hint="eastAsia" w:ascii="仿宋" w:hAnsi="仿宋" w:eastAsia="仿宋" w:cs="仿宋"/>
                <w:b/>
                <w:sz w:val="24"/>
              </w:rPr>
              <w:t>序号</w:t>
            </w:r>
          </w:p>
        </w:tc>
        <w:tc>
          <w:tcPr>
            <w:tcW w:w="1883" w:type="dxa"/>
            <w:gridSpan w:val="3"/>
            <w:vAlign w:val="center"/>
          </w:tcPr>
          <w:p>
            <w:pPr>
              <w:spacing w:line="320" w:lineRule="exact"/>
              <w:jc w:val="center"/>
              <w:rPr>
                <w:rFonts w:ascii="仿宋" w:hAnsi="仿宋" w:eastAsia="仿宋" w:cs="仿宋"/>
                <w:b/>
                <w:sz w:val="24"/>
              </w:rPr>
            </w:pPr>
            <w:r>
              <w:rPr>
                <w:rFonts w:hint="eastAsia" w:ascii="仿宋" w:hAnsi="仿宋" w:eastAsia="仿宋" w:cs="仿宋"/>
                <w:b/>
                <w:sz w:val="24"/>
              </w:rPr>
              <w:t>审查事项</w:t>
            </w:r>
          </w:p>
        </w:tc>
        <w:tc>
          <w:tcPr>
            <w:tcW w:w="8930" w:type="dxa"/>
            <w:vAlign w:val="center"/>
          </w:tcPr>
          <w:p>
            <w:pPr>
              <w:spacing w:line="320" w:lineRule="exact"/>
              <w:jc w:val="center"/>
              <w:rPr>
                <w:rFonts w:ascii="仿宋" w:hAnsi="仿宋" w:eastAsia="仿宋" w:cs="仿宋"/>
                <w:b/>
                <w:sz w:val="24"/>
              </w:rPr>
            </w:pPr>
            <w:r>
              <w:rPr>
                <w:rFonts w:hint="eastAsia" w:ascii="仿宋" w:hAnsi="仿宋" w:eastAsia="仿宋" w:cs="仿宋"/>
                <w:b/>
                <w:sz w:val="24"/>
              </w:rPr>
              <w:t>审查内容</w:t>
            </w:r>
          </w:p>
        </w:tc>
        <w:tc>
          <w:tcPr>
            <w:tcW w:w="1276" w:type="dxa"/>
            <w:vAlign w:val="center"/>
          </w:tcPr>
          <w:p>
            <w:pPr>
              <w:spacing w:line="320" w:lineRule="exact"/>
              <w:jc w:val="center"/>
              <w:rPr>
                <w:rFonts w:ascii="仿宋" w:hAnsi="仿宋" w:eastAsia="仿宋" w:cs="仿宋"/>
                <w:b/>
                <w:sz w:val="24"/>
              </w:rPr>
            </w:pPr>
            <w:r>
              <w:rPr>
                <w:rFonts w:hint="eastAsia" w:ascii="仿宋" w:hAnsi="仿宋" w:eastAsia="仿宋" w:cs="仿宋"/>
                <w:b/>
                <w:sz w:val="24"/>
              </w:rPr>
              <w:t>是否符合</w:t>
            </w:r>
          </w:p>
        </w:tc>
        <w:tc>
          <w:tcPr>
            <w:tcW w:w="952" w:type="dxa"/>
            <w:vAlign w:val="center"/>
          </w:tcPr>
          <w:p>
            <w:pPr>
              <w:spacing w:line="320" w:lineRule="exact"/>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664" w:type="dxa"/>
            <w:vAlign w:val="center"/>
          </w:tcPr>
          <w:p>
            <w:pPr>
              <w:spacing w:line="320" w:lineRule="exact"/>
              <w:rPr>
                <w:rFonts w:hint="eastAsia" w:ascii="仿宋" w:hAnsi="仿宋" w:eastAsia="仿宋" w:cs="仿宋"/>
                <w:sz w:val="24"/>
              </w:rPr>
            </w:pPr>
            <w:r>
              <w:rPr>
                <w:rFonts w:hint="eastAsia" w:ascii="仿宋" w:hAnsi="仿宋" w:eastAsia="仿宋" w:cs="仿宋"/>
                <w:sz w:val="24"/>
              </w:rPr>
              <w:t>1</w:t>
            </w:r>
          </w:p>
        </w:tc>
        <w:tc>
          <w:tcPr>
            <w:tcW w:w="1883" w:type="dxa"/>
            <w:gridSpan w:val="3"/>
            <w:vAlign w:val="center"/>
          </w:tcPr>
          <w:p>
            <w:pPr>
              <w:spacing w:line="320" w:lineRule="exact"/>
              <w:rPr>
                <w:rFonts w:hint="eastAsia" w:ascii="仿宋" w:hAnsi="仿宋" w:eastAsia="仿宋" w:cs="仿宋"/>
                <w:sz w:val="24"/>
              </w:rPr>
            </w:pPr>
            <w:r>
              <w:rPr>
                <w:rFonts w:hint="eastAsia" w:ascii="仿宋" w:hAnsi="仿宋" w:eastAsia="仿宋" w:cs="仿宋"/>
                <w:sz w:val="24"/>
              </w:rPr>
              <w:t>安全管理机构和安全生产管理人员</w:t>
            </w:r>
          </w:p>
        </w:tc>
        <w:tc>
          <w:tcPr>
            <w:tcW w:w="8930" w:type="dxa"/>
            <w:vAlign w:val="center"/>
          </w:tcPr>
          <w:p>
            <w:pPr>
              <w:spacing w:line="320" w:lineRule="exact"/>
              <w:rPr>
                <w:rFonts w:hint="eastAsia" w:ascii="仿宋" w:hAnsi="仿宋" w:eastAsia="仿宋" w:cs="仿宋"/>
                <w:sz w:val="24"/>
              </w:rPr>
            </w:pPr>
            <w:r>
              <w:rPr>
                <w:rFonts w:hint="eastAsia" w:ascii="仿宋" w:hAnsi="仿宋" w:eastAsia="仿宋" w:cs="仿宋"/>
                <w:sz w:val="24"/>
              </w:rPr>
              <w:t>（1）企业应依法设立安全生产管理机构，或配备安全生产管理人员；</w:t>
            </w:r>
          </w:p>
          <w:p>
            <w:pPr>
              <w:spacing w:line="320" w:lineRule="exact"/>
              <w:rPr>
                <w:rFonts w:hint="eastAsia" w:ascii="仿宋" w:hAnsi="仿宋" w:eastAsia="仿宋" w:cs="仿宋"/>
                <w:sz w:val="24"/>
              </w:rPr>
            </w:pPr>
            <w:r>
              <w:rPr>
                <w:rFonts w:hint="eastAsia" w:ascii="仿宋" w:hAnsi="仿宋" w:eastAsia="仿宋" w:cs="仿宋"/>
                <w:sz w:val="24"/>
              </w:rPr>
              <w:t>（2）企业从业人员在300人以上应按要求设置安全总监</w:t>
            </w:r>
          </w:p>
        </w:tc>
        <w:tc>
          <w:tcPr>
            <w:tcW w:w="1276" w:type="dxa"/>
          </w:tcPr>
          <w:p>
            <w:pPr>
              <w:rPr>
                <w:rFonts w:ascii="仿宋" w:hAnsi="仿宋" w:eastAsia="仿宋" w:cs="仿宋"/>
                <w:sz w:val="24"/>
              </w:rPr>
            </w:pPr>
          </w:p>
        </w:tc>
        <w:tc>
          <w:tcPr>
            <w:tcW w:w="952"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4" w:type="dxa"/>
            <w:vAlign w:val="center"/>
          </w:tcPr>
          <w:p>
            <w:pPr>
              <w:spacing w:line="320" w:lineRule="exact"/>
              <w:rPr>
                <w:rFonts w:hint="eastAsia" w:ascii="仿宋" w:hAnsi="仿宋" w:eastAsia="仿宋" w:cs="仿宋"/>
                <w:sz w:val="24"/>
              </w:rPr>
            </w:pPr>
            <w:r>
              <w:rPr>
                <w:rFonts w:hint="eastAsia" w:ascii="仿宋" w:hAnsi="仿宋" w:eastAsia="仿宋" w:cs="仿宋"/>
                <w:sz w:val="24"/>
              </w:rPr>
              <w:t>2</w:t>
            </w:r>
          </w:p>
        </w:tc>
        <w:tc>
          <w:tcPr>
            <w:tcW w:w="1883" w:type="dxa"/>
            <w:gridSpan w:val="3"/>
            <w:vAlign w:val="center"/>
          </w:tcPr>
          <w:p>
            <w:pPr>
              <w:spacing w:line="320" w:lineRule="exact"/>
              <w:rPr>
                <w:rFonts w:hint="eastAsia" w:ascii="仿宋" w:hAnsi="仿宋" w:eastAsia="仿宋" w:cs="仿宋"/>
                <w:sz w:val="24"/>
              </w:rPr>
            </w:pPr>
            <w:r>
              <w:rPr>
                <w:rFonts w:hint="eastAsia" w:ascii="仿宋" w:hAnsi="仿宋" w:eastAsia="仿宋" w:cs="仿宋"/>
                <w:sz w:val="24"/>
              </w:rPr>
              <w:t>安全生产责任制及安全管理规章制度</w:t>
            </w:r>
          </w:p>
        </w:tc>
        <w:tc>
          <w:tcPr>
            <w:tcW w:w="8930" w:type="dxa"/>
            <w:vAlign w:val="center"/>
          </w:tcPr>
          <w:p>
            <w:pPr>
              <w:spacing w:line="320" w:lineRule="exact"/>
              <w:rPr>
                <w:rFonts w:hint="eastAsia" w:ascii="仿宋" w:hAnsi="仿宋" w:eastAsia="仿宋" w:cs="仿宋"/>
                <w:sz w:val="24"/>
              </w:rPr>
            </w:pPr>
            <w:r>
              <w:rPr>
                <w:rFonts w:hint="eastAsia" w:ascii="仿宋" w:hAnsi="仿宋" w:eastAsia="仿宋" w:cs="仿宋"/>
                <w:sz w:val="24"/>
              </w:rPr>
              <w:t>（1）企业应实行全员安全生产责任制，明确各岗位从业人员的安全生产责任范围和考核标准等内容；</w:t>
            </w:r>
          </w:p>
          <w:p>
            <w:pPr>
              <w:spacing w:line="320" w:lineRule="exact"/>
              <w:rPr>
                <w:rFonts w:hint="eastAsia" w:ascii="仿宋" w:hAnsi="仿宋" w:eastAsia="仿宋" w:cs="仿宋"/>
                <w:sz w:val="24"/>
              </w:rPr>
            </w:pPr>
            <w:r>
              <w:rPr>
                <w:rFonts w:hint="eastAsia" w:ascii="仿宋" w:hAnsi="仿宋" w:eastAsia="仿宋" w:cs="仿宋"/>
                <w:sz w:val="24"/>
              </w:rPr>
              <w:t>（2）企业应建立安全生产教育培训制度、风险辨识和分级管控制度、隐患排查治理制度、设备设施及检维修安全管理制度、危险化学品管理制度等安全生产规章制度；</w:t>
            </w:r>
          </w:p>
          <w:p>
            <w:pPr>
              <w:spacing w:line="320" w:lineRule="exact"/>
              <w:rPr>
                <w:rFonts w:hint="eastAsia" w:ascii="仿宋" w:hAnsi="仿宋" w:eastAsia="仿宋" w:cs="仿宋"/>
                <w:sz w:val="24"/>
              </w:rPr>
            </w:pPr>
            <w:r>
              <w:rPr>
                <w:rFonts w:hint="eastAsia" w:ascii="仿宋" w:hAnsi="仿宋" w:eastAsia="仿宋" w:cs="仿宋"/>
                <w:sz w:val="24"/>
              </w:rPr>
              <w:t>（3）企业主要负责人必须书面承诺严格遵守安全生产相关法律法规，并向社会公示，接受社会监督</w:t>
            </w:r>
          </w:p>
        </w:tc>
        <w:tc>
          <w:tcPr>
            <w:tcW w:w="1276" w:type="dxa"/>
          </w:tcPr>
          <w:p>
            <w:pPr>
              <w:rPr>
                <w:rFonts w:ascii="仿宋" w:hAnsi="仿宋" w:eastAsia="仿宋" w:cs="仿宋"/>
                <w:sz w:val="24"/>
              </w:rPr>
            </w:pPr>
          </w:p>
        </w:tc>
        <w:tc>
          <w:tcPr>
            <w:tcW w:w="952"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64" w:type="dxa"/>
            <w:vAlign w:val="center"/>
          </w:tcPr>
          <w:p>
            <w:pPr>
              <w:spacing w:line="320" w:lineRule="exact"/>
              <w:rPr>
                <w:rFonts w:hint="eastAsia" w:ascii="仿宋" w:hAnsi="仿宋" w:eastAsia="仿宋" w:cs="仿宋"/>
                <w:sz w:val="24"/>
              </w:rPr>
            </w:pPr>
            <w:r>
              <w:rPr>
                <w:rFonts w:hint="eastAsia" w:ascii="仿宋" w:hAnsi="仿宋" w:eastAsia="仿宋" w:cs="仿宋"/>
                <w:sz w:val="24"/>
              </w:rPr>
              <w:t>3</w:t>
            </w:r>
          </w:p>
        </w:tc>
        <w:tc>
          <w:tcPr>
            <w:tcW w:w="1883" w:type="dxa"/>
            <w:gridSpan w:val="3"/>
            <w:vAlign w:val="center"/>
          </w:tcPr>
          <w:p>
            <w:pPr>
              <w:spacing w:line="320" w:lineRule="exact"/>
              <w:rPr>
                <w:rFonts w:hint="eastAsia" w:ascii="仿宋" w:hAnsi="仿宋" w:eastAsia="仿宋" w:cs="仿宋"/>
                <w:sz w:val="24"/>
              </w:rPr>
            </w:pPr>
            <w:r>
              <w:rPr>
                <w:rFonts w:hint="eastAsia" w:ascii="仿宋" w:hAnsi="仿宋" w:eastAsia="仿宋" w:cs="仿宋"/>
                <w:sz w:val="24"/>
              </w:rPr>
              <w:t>安全生产教育和培训</w:t>
            </w:r>
          </w:p>
        </w:tc>
        <w:tc>
          <w:tcPr>
            <w:tcW w:w="8930" w:type="dxa"/>
          </w:tcPr>
          <w:p>
            <w:pPr>
              <w:spacing w:line="320" w:lineRule="exact"/>
              <w:rPr>
                <w:rFonts w:hint="eastAsia" w:ascii="仿宋" w:hAnsi="仿宋" w:eastAsia="仿宋" w:cs="仿宋"/>
                <w:sz w:val="24"/>
              </w:rPr>
            </w:pPr>
            <w:r>
              <w:rPr>
                <w:rFonts w:hint="eastAsia" w:ascii="仿宋" w:hAnsi="仿宋" w:eastAsia="仿宋" w:cs="仿宋"/>
                <w:sz w:val="24"/>
              </w:rPr>
              <w:t>（1）企业应每年至少组织一次全员安全生产教育和培训；</w:t>
            </w:r>
          </w:p>
          <w:p>
            <w:pPr>
              <w:spacing w:line="320" w:lineRule="exact"/>
              <w:rPr>
                <w:rFonts w:hint="eastAsia" w:ascii="仿宋" w:hAnsi="仿宋" w:eastAsia="仿宋" w:cs="仿宋"/>
                <w:sz w:val="24"/>
              </w:rPr>
            </w:pPr>
            <w:r>
              <w:rPr>
                <w:rFonts w:hint="eastAsia" w:ascii="仿宋" w:hAnsi="仿宋" w:eastAsia="仿宋" w:cs="仿宋"/>
                <w:sz w:val="24"/>
              </w:rPr>
              <w:t>（2）应对新员工进行三级安全培训教育，并经考核合格后方可上岗；</w:t>
            </w:r>
          </w:p>
          <w:p>
            <w:pPr>
              <w:spacing w:line="320" w:lineRule="exact"/>
              <w:rPr>
                <w:rFonts w:hint="eastAsia" w:ascii="仿宋" w:hAnsi="仿宋" w:eastAsia="仿宋" w:cs="仿宋"/>
                <w:sz w:val="24"/>
              </w:rPr>
            </w:pPr>
            <w:r>
              <w:rPr>
                <w:rFonts w:hint="eastAsia" w:ascii="仿宋" w:hAnsi="仿宋" w:eastAsia="仿宋" w:cs="仿宋"/>
                <w:sz w:val="24"/>
              </w:rPr>
              <w:t>（3）企业应对新进从业人员、离岗复工人员等进行安全生产教育和培训，未经培训合格不得上岗作业；</w:t>
            </w:r>
          </w:p>
          <w:p>
            <w:pPr>
              <w:spacing w:line="320" w:lineRule="exac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rPr>
              <w:t>企业应对涉及危险化学品作业、受限空间作业人员进行专项安全培训</w:t>
            </w:r>
          </w:p>
        </w:tc>
        <w:tc>
          <w:tcPr>
            <w:tcW w:w="1276" w:type="dxa"/>
          </w:tcPr>
          <w:p>
            <w:pPr>
              <w:rPr>
                <w:rFonts w:ascii="仿宋" w:hAnsi="仿宋" w:eastAsia="仿宋" w:cs="仿宋"/>
                <w:sz w:val="24"/>
              </w:rPr>
            </w:pPr>
          </w:p>
        </w:tc>
        <w:tc>
          <w:tcPr>
            <w:tcW w:w="952"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trPr>
        <w:tc>
          <w:tcPr>
            <w:tcW w:w="664" w:type="dxa"/>
            <w:vAlign w:val="center"/>
          </w:tcPr>
          <w:p>
            <w:pPr>
              <w:spacing w:line="320" w:lineRule="exact"/>
              <w:rPr>
                <w:rFonts w:hint="eastAsia" w:ascii="仿宋" w:hAnsi="仿宋" w:eastAsia="仿宋" w:cs="仿宋"/>
                <w:sz w:val="24"/>
              </w:rPr>
            </w:pPr>
            <w:r>
              <w:rPr>
                <w:rFonts w:hint="eastAsia" w:ascii="仿宋" w:hAnsi="仿宋" w:eastAsia="仿宋" w:cs="仿宋"/>
                <w:sz w:val="24"/>
              </w:rPr>
              <w:t>4</w:t>
            </w:r>
          </w:p>
        </w:tc>
        <w:tc>
          <w:tcPr>
            <w:tcW w:w="1883" w:type="dxa"/>
            <w:gridSpan w:val="3"/>
            <w:vAlign w:val="center"/>
          </w:tcPr>
          <w:p>
            <w:pPr>
              <w:spacing w:line="320" w:lineRule="exact"/>
              <w:rPr>
                <w:rFonts w:hint="eastAsia" w:ascii="仿宋" w:hAnsi="仿宋" w:eastAsia="仿宋" w:cs="仿宋"/>
                <w:sz w:val="24"/>
              </w:rPr>
            </w:pPr>
            <w:r>
              <w:rPr>
                <w:rFonts w:hint="eastAsia" w:ascii="仿宋" w:hAnsi="仿宋" w:eastAsia="仿宋" w:cs="仿宋"/>
                <w:sz w:val="24"/>
              </w:rPr>
              <w:t>风险辨识和分级管控</w:t>
            </w:r>
          </w:p>
        </w:tc>
        <w:tc>
          <w:tcPr>
            <w:tcW w:w="8930" w:type="dxa"/>
            <w:vAlign w:val="center"/>
          </w:tcPr>
          <w:p>
            <w:pPr>
              <w:spacing w:line="320" w:lineRule="exact"/>
              <w:rPr>
                <w:rFonts w:hint="eastAsia" w:ascii="仿宋" w:hAnsi="仿宋" w:eastAsia="仿宋" w:cs="仿宋"/>
                <w:sz w:val="24"/>
              </w:rPr>
            </w:pPr>
            <w:r>
              <w:rPr>
                <w:rFonts w:hint="eastAsia" w:ascii="仿宋" w:hAnsi="仿宋" w:eastAsia="仿宋" w:cs="仿宋"/>
                <w:sz w:val="24"/>
              </w:rPr>
              <w:t>（1）企业应建立风险辨识和分级管控制度，明确组织机构、职责分工、工作程序、辨识方法、辨识频次、风险分级、风险评价、分级管控措施等要求；</w:t>
            </w:r>
          </w:p>
          <w:p>
            <w:pPr>
              <w:spacing w:line="320" w:lineRule="exact"/>
              <w:rPr>
                <w:rFonts w:hint="eastAsia" w:ascii="仿宋" w:hAnsi="仿宋" w:eastAsia="仿宋" w:cs="仿宋"/>
                <w:sz w:val="24"/>
              </w:rPr>
            </w:pPr>
            <w:r>
              <w:rPr>
                <w:rFonts w:hint="eastAsia" w:ascii="仿宋" w:hAnsi="仿宋" w:eastAsia="仿宋" w:cs="仿宋"/>
                <w:sz w:val="24"/>
              </w:rPr>
              <w:t>（2）企业应严格执行制度要求，设置岗位安全风险告知卡，至少每半年更新安全风险清单，每班交接班记录说明安全隐患情况</w:t>
            </w:r>
          </w:p>
        </w:tc>
        <w:tc>
          <w:tcPr>
            <w:tcW w:w="1276" w:type="dxa"/>
          </w:tcPr>
          <w:p>
            <w:pPr>
              <w:rPr>
                <w:rFonts w:ascii="仿宋" w:hAnsi="仿宋" w:eastAsia="仿宋" w:cs="仿宋"/>
                <w:sz w:val="24"/>
              </w:rPr>
            </w:pPr>
          </w:p>
        </w:tc>
        <w:tc>
          <w:tcPr>
            <w:tcW w:w="952"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trPr>
        <w:tc>
          <w:tcPr>
            <w:tcW w:w="664" w:type="dxa"/>
            <w:vAlign w:val="center"/>
          </w:tcPr>
          <w:p>
            <w:pPr>
              <w:spacing w:line="320" w:lineRule="exact"/>
              <w:rPr>
                <w:rFonts w:hint="eastAsia" w:ascii="仿宋" w:hAnsi="仿宋" w:eastAsia="仿宋" w:cs="仿宋"/>
                <w:sz w:val="24"/>
              </w:rPr>
            </w:pPr>
            <w:r>
              <w:rPr>
                <w:rFonts w:hint="eastAsia" w:ascii="仿宋" w:hAnsi="仿宋" w:eastAsia="仿宋" w:cs="仿宋"/>
                <w:sz w:val="24"/>
              </w:rPr>
              <w:t>5</w:t>
            </w:r>
          </w:p>
        </w:tc>
        <w:tc>
          <w:tcPr>
            <w:tcW w:w="1883" w:type="dxa"/>
            <w:gridSpan w:val="3"/>
            <w:vAlign w:val="center"/>
          </w:tcPr>
          <w:p>
            <w:pPr>
              <w:spacing w:line="320" w:lineRule="exact"/>
              <w:rPr>
                <w:rFonts w:hint="eastAsia" w:ascii="仿宋" w:hAnsi="仿宋" w:eastAsia="仿宋" w:cs="仿宋"/>
                <w:sz w:val="24"/>
              </w:rPr>
            </w:pPr>
            <w:r>
              <w:rPr>
                <w:rFonts w:hint="eastAsia" w:ascii="仿宋" w:hAnsi="仿宋" w:eastAsia="仿宋" w:cs="仿宋"/>
                <w:sz w:val="24"/>
              </w:rPr>
              <w:t>隐患排查和治理</w:t>
            </w:r>
          </w:p>
        </w:tc>
        <w:tc>
          <w:tcPr>
            <w:tcW w:w="8930" w:type="dxa"/>
            <w:vAlign w:val="center"/>
          </w:tcPr>
          <w:p>
            <w:pPr>
              <w:spacing w:line="320" w:lineRule="exact"/>
              <w:rPr>
                <w:rFonts w:hint="eastAsia" w:ascii="仿宋" w:hAnsi="仿宋" w:eastAsia="仿宋" w:cs="仿宋"/>
                <w:sz w:val="24"/>
              </w:rPr>
            </w:pPr>
            <w:r>
              <w:rPr>
                <w:rFonts w:hint="eastAsia" w:ascii="仿宋" w:hAnsi="仿宋" w:eastAsia="仿宋" w:cs="仿宋"/>
                <w:sz w:val="24"/>
              </w:rPr>
              <w:t>（1）企业应根据本重点清单内容结合实际情况制定隐患排查清单，定期开展事故隐患排查，明确隐患排查的事项、内容、频次及责任单位（部门、人），并强化重（较）大风险点的隐患排查，建立隐患管理台账；</w:t>
            </w:r>
          </w:p>
          <w:p>
            <w:pPr>
              <w:spacing w:line="320" w:lineRule="exact"/>
              <w:rPr>
                <w:rFonts w:hint="eastAsia" w:ascii="仿宋" w:hAnsi="仿宋" w:eastAsia="仿宋" w:cs="仿宋"/>
                <w:sz w:val="24"/>
              </w:rPr>
            </w:pPr>
            <w:r>
              <w:rPr>
                <w:rFonts w:hint="eastAsia" w:ascii="仿宋" w:hAnsi="仿宋" w:eastAsia="仿宋" w:cs="仿宋"/>
                <w:sz w:val="24"/>
              </w:rPr>
              <w:t>（2）企业主要负责人每季度至少组织一次全面隐患排查；</w:t>
            </w:r>
          </w:p>
          <w:p>
            <w:pPr>
              <w:spacing w:line="320" w:lineRule="exact"/>
              <w:rPr>
                <w:rFonts w:hint="eastAsia" w:ascii="仿宋" w:hAnsi="仿宋" w:eastAsia="仿宋" w:cs="仿宋"/>
                <w:sz w:val="24"/>
              </w:rPr>
            </w:pPr>
            <w:r>
              <w:rPr>
                <w:rFonts w:hint="eastAsia" w:ascii="仿宋" w:hAnsi="仿宋" w:eastAsia="仿宋" w:cs="仿宋"/>
                <w:sz w:val="24"/>
              </w:rPr>
              <w:t>（3）对于重大隐患，应由企业主要负责人负责组织实施整改</w:t>
            </w:r>
          </w:p>
        </w:tc>
        <w:tc>
          <w:tcPr>
            <w:tcW w:w="1276" w:type="dxa"/>
          </w:tcPr>
          <w:p>
            <w:pPr>
              <w:rPr>
                <w:rFonts w:ascii="仿宋" w:hAnsi="仿宋" w:eastAsia="仿宋" w:cs="仿宋"/>
                <w:sz w:val="24"/>
              </w:rPr>
            </w:pPr>
          </w:p>
        </w:tc>
        <w:tc>
          <w:tcPr>
            <w:tcW w:w="952"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trPr>
        <w:tc>
          <w:tcPr>
            <w:tcW w:w="664" w:type="dxa"/>
            <w:vAlign w:val="center"/>
          </w:tcPr>
          <w:p>
            <w:pPr>
              <w:spacing w:line="320" w:lineRule="exact"/>
              <w:rPr>
                <w:rFonts w:hint="eastAsia" w:ascii="仿宋" w:hAnsi="仿宋" w:eastAsia="仿宋" w:cs="仿宋"/>
                <w:sz w:val="24"/>
              </w:rPr>
            </w:pPr>
            <w:r>
              <w:rPr>
                <w:rFonts w:hint="eastAsia" w:ascii="仿宋" w:hAnsi="仿宋" w:eastAsia="仿宋" w:cs="仿宋"/>
                <w:sz w:val="24"/>
              </w:rPr>
              <w:t>6</w:t>
            </w:r>
          </w:p>
        </w:tc>
        <w:tc>
          <w:tcPr>
            <w:tcW w:w="1883" w:type="dxa"/>
            <w:gridSpan w:val="3"/>
            <w:vAlign w:val="center"/>
          </w:tcPr>
          <w:p>
            <w:pPr>
              <w:spacing w:line="320" w:lineRule="exact"/>
              <w:rPr>
                <w:rFonts w:hint="eastAsia" w:ascii="仿宋" w:hAnsi="仿宋" w:eastAsia="仿宋" w:cs="仿宋"/>
                <w:sz w:val="24"/>
              </w:rPr>
            </w:pPr>
            <w:r>
              <w:rPr>
                <w:rFonts w:hint="eastAsia" w:ascii="仿宋" w:hAnsi="仿宋" w:eastAsia="仿宋" w:cs="仿宋"/>
                <w:sz w:val="24"/>
              </w:rPr>
              <w:t>设备设施及工艺安全</w:t>
            </w:r>
          </w:p>
        </w:tc>
        <w:tc>
          <w:tcPr>
            <w:tcW w:w="8930" w:type="dxa"/>
            <w:vAlign w:val="center"/>
          </w:tcPr>
          <w:p>
            <w:pPr>
              <w:spacing w:line="320" w:lineRule="exact"/>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电气线路应穿管保护，插座严禁固定在可燃材料上；</w:t>
            </w:r>
          </w:p>
          <w:p>
            <w:pPr>
              <w:spacing w:line="320" w:lineRule="exact"/>
              <w:rPr>
                <w:rFonts w:hint="eastAsia" w:ascii="仿宋" w:hAnsi="仿宋" w:eastAsia="仿宋" w:cs="仿宋"/>
                <w:sz w:val="24"/>
                <w:lang w:val="zh-CN"/>
              </w:rPr>
            </w:pPr>
            <w:r>
              <w:rPr>
                <w:rFonts w:hint="eastAsia" w:ascii="仿宋" w:hAnsi="仿宋" w:eastAsia="仿宋" w:cs="仿宋"/>
                <w:sz w:val="24"/>
                <w:lang w:val="zh-CN"/>
              </w:rPr>
              <w:t>（2）</w:t>
            </w:r>
            <w:r>
              <w:rPr>
                <w:rFonts w:hint="eastAsia" w:ascii="仿宋" w:hAnsi="仿宋" w:eastAsia="仿宋" w:cs="仿宋"/>
                <w:sz w:val="24"/>
              </w:rPr>
              <w:t>搅拌机、分散机、研磨机等设备设施旋转、挤压、切割、传动部位应设置安全防护装置</w:t>
            </w:r>
            <w:r>
              <w:rPr>
                <w:rFonts w:hint="eastAsia" w:ascii="仿宋" w:hAnsi="仿宋" w:eastAsia="仿宋" w:cs="仿宋"/>
                <w:sz w:val="24"/>
                <w:lang w:val="zh-CN"/>
              </w:rPr>
              <w:t>；</w:t>
            </w:r>
          </w:p>
          <w:p>
            <w:pPr>
              <w:spacing w:line="320" w:lineRule="exact"/>
              <w:rPr>
                <w:rFonts w:hint="eastAsia" w:ascii="仿宋" w:hAnsi="仿宋" w:eastAsia="仿宋" w:cs="仿宋"/>
                <w:sz w:val="24"/>
                <w:lang w:val="zh-CN"/>
              </w:rPr>
            </w:pPr>
            <w:r>
              <w:rPr>
                <w:rFonts w:hint="eastAsia" w:ascii="仿宋" w:hAnsi="仿宋" w:eastAsia="仿宋" w:cs="仿宋"/>
                <w:sz w:val="24"/>
                <w:lang w:val="zh-CN"/>
              </w:rPr>
              <w:t>（3）散发危害物质的岗位，应做好密闭或设置通风排毒措施，并为作业人员配备相应的个人防护用品，设置警示标识；</w:t>
            </w:r>
          </w:p>
          <w:p>
            <w:pPr>
              <w:spacing w:line="320" w:lineRule="exact"/>
              <w:rPr>
                <w:rFonts w:hint="eastAsia" w:ascii="仿宋" w:hAnsi="仿宋" w:eastAsia="仿宋" w:cs="仿宋"/>
                <w:sz w:val="24"/>
                <w:lang w:val="zh-CN"/>
              </w:rPr>
            </w:pPr>
            <w:r>
              <w:rPr>
                <w:rFonts w:hint="eastAsia" w:ascii="仿宋" w:hAnsi="仿宋" w:eastAsia="仿宋" w:cs="仿宋"/>
                <w:sz w:val="24"/>
                <w:lang w:val="zh-CN"/>
              </w:rPr>
              <w:t>（4）特种设备（如锅炉、厂内机动车辆等）应有定期检验合格标志</w:t>
            </w:r>
          </w:p>
        </w:tc>
        <w:tc>
          <w:tcPr>
            <w:tcW w:w="1276" w:type="dxa"/>
          </w:tcPr>
          <w:p>
            <w:pPr>
              <w:rPr>
                <w:rFonts w:ascii="仿宋" w:hAnsi="仿宋" w:eastAsia="仿宋" w:cs="仿宋"/>
                <w:sz w:val="24"/>
              </w:rPr>
            </w:pPr>
          </w:p>
        </w:tc>
        <w:tc>
          <w:tcPr>
            <w:tcW w:w="952"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664" w:type="dxa"/>
            <w:vMerge w:val="restart"/>
            <w:vAlign w:val="center"/>
          </w:tcPr>
          <w:p>
            <w:pPr>
              <w:spacing w:line="320" w:lineRule="exact"/>
              <w:rPr>
                <w:rFonts w:hint="eastAsia" w:ascii="仿宋" w:hAnsi="仿宋" w:eastAsia="仿宋" w:cs="仿宋"/>
                <w:sz w:val="24"/>
              </w:rPr>
            </w:pPr>
            <w:r>
              <w:rPr>
                <w:rFonts w:hint="eastAsia" w:ascii="仿宋" w:hAnsi="仿宋" w:eastAsia="仿宋" w:cs="仿宋"/>
                <w:sz w:val="24"/>
              </w:rPr>
              <w:t>7</w:t>
            </w:r>
          </w:p>
        </w:tc>
        <w:tc>
          <w:tcPr>
            <w:tcW w:w="704" w:type="dxa"/>
            <w:vMerge w:val="restart"/>
            <w:vAlign w:val="center"/>
          </w:tcPr>
          <w:p>
            <w:pPr>
              <w:spacing w:line="320" w:lineRule="exact"/>
              <w:rPr>
                <w:rFonts w:hint="eastAsia" w:ascii="仿宋" w:hAnsi="仿宋" w:eastAsia="仿宋" w:cs="仿宋"/>
                <w:sz w:val="24"/>
              </w:rPr>
            </w:pPr>
            <w:r>
              <w:rPr>
                <w:rFonts w:hint="eastAsia" w:ascii="仿宋" w:hAnsi="仿宋" w:eastAsia="仿宋" w:cs="仿宋"/>
                <w:sz w:val="24"/>
              </w:rPr>
              <w:t>危险化学品安全管理</w:t>
            </w:r>
          </w:p>
        </w:tc>
        <w:tc>
          <w:tcPr>
            <w:tcW w:w="1179" w:type="dxa"/>
            <w:gridSpan w:val="2"/>
            <w:vAlign w:val="center"/>
          </w:tcPr>
          <w:p>
            <w:pPr>
              <w:spacing w:line="320" w:lineRule="exact"/>
              <w:rPr>
                <w:rFonts w:hint="eastAsia" w:ascii="仿宋" w:hAnsi="仿宋" w:eastAsia="仿宋" w:cs="仿宋"/>
                <w:sz w:val="24"/>
              </w:rPr>
            </w:pPr>
            <w:r>
              <w:rPr>
                <w:rFonts w:hint="eastAsia" w:ascii="仿宋" w:hAnsi="仿宋" w:eastAsia="仿宋" w:cs="仿宋"/>
                <w:sz w:val="24"/>
              </w:rPr>
              <w:t>7.1危险化学品使用</w:t>
            </w:r>
          </w:p>
        </w:tc>
        <w:tc>
          <w:tcPr>
            <w:tcW w:w="8930" w:type="dxa"/>
            <w:vAlign w:val="center"/>
          </w:tcPr>
          <w:p>
            <w:pPr>
              <w:spacing w:line="320" w:lineRule="exact"/>
              <w:rPr>
                <w:rFonts w:hint="eastAsia" w:ascii="仿宋" w:hAnsi="仿宋" w:eastAsia="仿宋" w:cs="仿宋"/>
                <w:sz w:val="24"/>
              </w:rPr>
            </w:pPr>
            <w:r>
              <w:rPr>
                <w:rFonts w:hint="eastAsia" w:ascii="仿宋" w:hAnsi="仿宋" w:eastAsia="仿宋" w:cs="仿宋"/>
                <w:sz w:val="24"/>
              </w:rPr>
              <w:t>（1）危险化学品分装作业工序应设置固定区域，在醒目位置设置安全警示标志及安全操作规程；</w:t>
            </w:r>
          </w:p>
          <w:p>
            <w:pPr>
              <w:spacing w:line="320" w:lineRule="exact"/>
              <w:rPr>
                <w:rFonts w:hint="eastAsia" w:ascii="仿宋" w:hAnsi="仿宋" w:eastAsia="仿宋" w:cs="仿宋"/>
                <w:sz w:val="24"/>
              </w:rPr>
            </w:pPr>
            <w:r>
              <w:rPr>
                <w:rFonts w:hint="eastAsia" w:ascii="仿宋" w:hAnsi="仿宋" w:eastAsia="仿宋" w:cs="仿宋"/>
                <w:sz w:val="24"/>
              </w:rPr>
              <w:t>（2）现场摆放危险化学品容器要粘贴安全标签，不能用饮料瓶、水杯等容器盛放危险化学品；</w:t>
            </w:r>
          </w:p>
          <w:p>
            <w:pPr>
              <w:spacing w:line="320" w:lineRule="exact"/>
              <w:rPr>
                <w:rFonts w:hint="eastAsia" w:ascii="仿宋" w:hAnsi="仿宋" w:eastAsia="仿宋" w:cs="仿宋"/>
                <w:sz w:val="24"/>
              </w:rPr>
            </w:pPr>
            <w:r>
              <w:rPr>
                <w:rFonts w:hint="eastAsia" w:ascii="仿宋" w:hAnsi="仿宋" w:eastAsia="仿宋" w:cs="仿宋"/>
                <w:sz w:val="24"/>
              </w:rPr>
              <w:t>（3）爆炸危险环境内电气设备、生产设备设施应采用防爆型，安装可燃气体报警装置；</w:t>
            </w:r>
          </w:p>
          <w:p>
            <w:pPr>
              <w:spacing w:line="320" w:lineRule="exact"/>
              <w:rPr>
                <w:rFonts w:hint="eastAsia" w:ascii="仿宋" w:hAnsi="仿宋" w:eastAsia="仿宋" w:cs="仿宋"/>
                <w:sz w:val="24"/>
              </w:rPr>
            </w:pPr>
            <w:r>
              <w:rPr>
                <w:rFonts w:hint="eastAsia" w:ascii="仿宋" w:hAnsi="仿宋" w:eastAsia="仿宋" w:cs="仿宋"/>
                <w:sz w:val="24"/>
              </w:rPr>
              <w:t>（4）可燃气体报警装置的报警信号应传至24h有人值守的地方，并设声光报警器；</w:t>
            </w:r>
          </w:p>
          <w:p>
            <w:pPr>
              <w:spacing w:line="320" w:lineRule="exact"/>
              <w:rPr>
                <w:rFonts w:hint="eastAsia" w:ascii="仿宋" w:hAnsi="仿宋" w:eastAsia="仿宋" w:cs="仿宋"/>
                <w:sz w:val="24"/>
              </w:rPr>
            </w:pPr>
            <w:r>
              <w:rPr>
                <w:rFonts w:hint="eastAsia" w:ascii="仿宋" w:hAnsi="仿宋" w:eastAsia="仿宋" w:cs="仿宋"/>
                <w:sz w:val="24"/>
              </w:rPr>
              <w:t>（5）气瓶安全附件应齐全（瓶帽、橡胶护圈等），安全标签完好，不应擅自更改气瓶的钢印和颜色标记；</w:t>
            </w:r>
          </w:p>
          <w:p>
            <w:pPr>
              <w:spacing w:line="320" w:lineRule="exact"/>
              <w:rPr>
                <w:rFonts w:hint="eastAsia" w:ascii="仿宋" w:hAnsi="仿宋" w:eastAsia="仿宋" w:cs="仿宋"/>
                <w:sz w:val="24"/>
              </w:rPr>
            </w:pPr>
            <w:r>
              <w:rPr>
                <w:rFonts w:hint="eastAsia" w:ascii="仿宋" w:hAnsi="仿宋" w:eastAsia="仿宋" w:cs="仿宋"/>
                <w:sz w:val="24"/>
              </w:rPr>
              <w:t>（6）气瓶使用时，应立放，并应有防止倾倒的措施；</w:t>
            </w:r>
          </w:p>
          <w:p>
            <w:pPr>
              <w:spacing w:line="320" w:lineRule="exact"/>
              <w:rPr>
                <w:rFonts w:hint="eastAsia" w:ascii="仿宋" w:hAnsi="仿宋" w:eastAsia="仿宋" w:cs="仿宋"/>
                <w:sz w:val="24"/>
              </w:rPr>
            </w:pPr>
            <w:r>
              <w:rPr>
                <w:rFonts w:hint="eastAsia" w:ascii="仿宋" w:hAnsi="仿宋" w:eastAsia="仿宋" w:cs="仿宋"/>
                <w:sz w:val="24"/>
              </w:rPr>
              <w:t>（7）使用气焊、气割动火作业时，乙炔瓶应直立放置，氧气瓶与之间距不应小于5 m，二者与作业地点间距不应小于10m，并应设置防晒设施</w:t>
            </w:r>
          </w:p>
        </w:tc>
        <w:tc>
          <w:tcPr>
            <w:tcW w:w="1276" w:type="dxa"/>
          </w:tcPr>
          <w:p>
            <w:pPr>
              <w:rPr>
                <w:rFonts w:ascii="仿宋" w:hAnsi="仿宋" w:eastAsia="仿宋" w:cs="仿宋"/>
                <w:sz w:val="24"/>
              </w:rPr>
            </w:pPr>
          </w:p>
        </w:tc>
        <w:tc>
          <w:tcPr>
            <w:tcW w:w="952"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8" w:hRule="atLeast"/>
        </w:trPr>
        <w:tc>
          <w:tcPr>
            <w:tcW w:w="664" w:type="dxa"/>
            <w:vMerge w:val="continue"/>
            <w:vAlign w:val="center"/>
          </w:tcPr>
          <w:p>
            <w:pPr>
              <w:spacing w:line="320" w:lineRule="exact"/>
              <w:rPr>
                <w:rFonts w:hint="eastAsia" w:ascii="仿宋" w:hAnsi="仿宋" w:eastAsia="仿宋" w:cs="仿宋"/>
                <w:sz w:val="24"/>
              </w:rPr>
            </w:pPr>
          </w:p>
        </w:tc>
        <w:tc>
          <w:tcPr>
            <w:tcW w:w="704" w:type="dxa"/>
            <w:vMerge w:val="continue"/>
            <w:vAlign w:val="center"/>
          </w:tcPr>
          <w:p>
            <w:pPr>
              <w:spacing w:line="320" w:lineRule="exact"/>
              <w:rPr>
                <w:rFonts w:hint="eastAsia" w:ascii="仿宋" w:hAnsi="仿宋" w:eastAsia="仿宋" w:cs="仿宋"/>
                <w:sz w:val="24"/>
              </w:rPr>
            </w:pPr>
          </w:p>
        </w:tc>
        <w:tc>
          <w:tcPr>
            <w:tcW w:w="1179" w:type="dxa"/>
            <w:gridSpan w:val="2"/>
            <w:vAlign w:val="center"/>
          </w:tcPr>
          <w:p>
            <w:pPr>
              <w:spacing w:line="320" w:lineRule="exact"/>
              <w:rPr>
                <w:rFonts w:hint="eastAsia" w:ascii="仿宋" w:hAnsi="仿宋" w:eastAsia="仿宋" w:cs="仿宋"/>
                <w:sz w:val="24"/>
              </w:rPr>
            </w:pPr>
            <w:r>
              <w:rPr>
                <w:rFonts w:hint="eastAsia" w:ascii="仿宋" w:hAnsi="仿宋" w:eastAsia="仿宋" w:cs="仿宋"/>
                <w:sz w:val="24"/>
              </w:rPr>
              <w:t>7.2危险化学品储存</w:t>
            </w:r>
          </w:p>
        </w:tc>
        <w:tc>
          <w:tcPr>
            <w:tcW w:w="8930" w:type="dxa"/>
            <w:vAlign w:val="center"/>
          </w:tcPr>
          <w:p>
            <w:pPr>
              <w:spacing w:line="320" w:lineRule="exact"/>
              <w:rPr>
                <w:rFonts w:hint="eastAsia" w:ascii="仿宋" w:hAnsi="仿宋" w:eastAsia="仿宋" w:cs="仿宋"/>
                <w:sz w:val="24"/>
              </w:rPr>
            </w:pPr>
            <w:r>
              <w:rPr>
                <w:rFonts w:hint="eastAsia" w:ascii="仿宋" w:hAnsi="仿宋" w:eastAsia="仿宋" w:cs="仿宋"/>
                <w:sz w:val="24"/>
              </w:rPr>
              <w:t>（1）危险化学品应储存在周转仓库或中间</w:t>
            </w:r>
            <w:r>
              <w:rPr>
                <w:rFonts w:hint="eastAsia" w:ascii="仿宋" w:hAnsi="仿宋" w:eastAsia="仿宋" w:cs="仿宋"/>
                <w:sz w:val="24"/>
                <w:lang w:eastAsia="zh-CN"/>
              </w:rPr>
              <w:t>仓库</w:t>
            </w:r>
            <w:r>
              <w:rPr>
                <w:rFonts w:hint="eastAsia" w:ascii="仿宋" w:hAnsi="仿宋" w:eastAsia="仿宋" w:cs="仿宋"/>
                <w:sz w:val="24"/>
              </w:rPr>
              <w:t>，应根据危险化学品理化特性设置通风、防爆、防静电、防泄漏设施，安装可燃或有毒气体浓度报警装置，配备灭火器材；</w:t>
            </w:r>
          </w:p>
          <w:p>
            <w:pPr>
              <w:spacing w:line="320" w:lineRule="exact"/>
              <w:rPr>
                <w:rFonts w:hint="eastAsia" w:ascii="仿宋" w:hAnsi="仿宋" w:eastAsia="仿宋" w:cs="仿宋"/>
                <w:sz w:val="24"/>
              </w:rPr>
            </w:pPr>
            <w:r>
              <w:rPr>
                <w:rFonts w:hint="eastAsia" w:ascii="仿宋" w:hAnsi="仿宋" w:eastAsia="仿宋" w:cs="仿宋"/>
                <w:sz w:val="24"/>
              </w:rPr>
              <w:t>（2）少量危险化学品可存放在危险化学品储存柜内，存放易燃液体时应打开排气孔，柜体应连接静电接地导线；</w:t>
            </w:r>
          </w:p>
          <w:p>
            <w:pPr>
              <w:spacing w:line="320" w:lineRule="exact"/>
              <w:rPr>
                <w:rFonts w:hint="eastAsia" w:ascii="仿宋" w:hAnsi="仿宋" w:eastAsia="仿宋" w:cs="仿宋"/>
                <w:sz w:val="24"/>
              </w:rPr>
            </w:pPr>
            <w:r>
              <w:rPr>
                <w:rFonts w:hint="eastAsia" w:ascii="仿宋" w:hAnsi="仿宋" w:eastAsia="仿宋" w:cs="仿宋"/>
                <w:sz w:val="24"/>
              </w:rPr>
              <w:t>（3）剧毒化学品应在专用仓库内单独存放，并实行双人收发、双人保管制度；</w:t>
            </w:r>
          </w:p>
          <w:p>
            <w:pPr>
              <w:spacing w:line="320" w:lineRule="exact"/>
              <w:rPr>
                <w:rFonts w:hint="eastAsia" w:ascii="仿宋" w:hAnsi="仿宋" w:eastAsia="仿宋" w:cs="仿宋"/>
                <w:sz w:val="24"/>
              </w:rPr>
            </w:pPr>
            <w:r>
              <w:rPr>
                <w:rFonts w:hint="eastAsia" w:ascii="仿宋" w:hAnsi="仿宋" w:eastAsia="仿宋" w:cs="仿宋"/>
                <w:sz w:val="24"/>
              </w:rPr>
              <w:t>（4）可燃或有毒气体报警装置的报警信号应传至24h有人值守的地方，并设声光报警器</w:t>
            </w:r>
          </w:p>
        </w:tc>
        <w:tc>
          <w:tcPr>
            <w:tcW w:w="1276" w:type="dxa"/>
          </w:tcPr>
          <w:p>
            <w:pPr>
              <w:rPr>
                <w:rFonts w:ascii="仿宋" w:hAnsi="仿宋" w:eastAsia="仿宋" w:cs="仿宋"/>
                <w:sz w:val="24"/>
              </w:rPr>
            </w:pPr>
          </w:p>
        </w:tc>
        <w:tc>
          <w:tcPr>
            <w:tcW w:w="952"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2" w:hRule="atLeast"/>
        </w:trPr>
        <w:tc>
          <w:tcPr>
            <w:tcW w:w="664" w:type="dxa"/>
            <w:vAlign w:val="center"/>
          </w:tcPr>
          <w:p>
            <w:pPr>
              <w:spacing w:line="320" w:lineRule="exact"/>
              <w:rPr>
                <w:rFonts w:hint="eastAsia" w:ascii="仿宋" w:hAnsi="仿宋" w:eastAsia="仿宋" w:cs="仿宋"/>
                <w:sz w:val="24"/>
              </w:rPr>
            </w:pPr>
            <w:r>
              <w:rPr>
                <w:rFonts w:hint="eastAsia" w:ascii="仿宋" w:hAnsi="仿宋" w:eastAsia="仿宋" w:cs="仿宋"/>
                <w:sz w:val="24"/>
              </w:rPr>
              <w:t>8</w:t>
            </w:r>
          </w:p>
        </w:tc>
        <w:tc>
          <w:tcPr>
            <w:tcW w:w="1883" w:type="dxa"/>
            <w:gridSpan w:val="3"/>
            <w:vAlign w:val="center"/>
          </w:tcPr>
          <w:p>
            <w:pPr>
              <w:spacing w:line="320" w:lineRule="exact"/>
              <w:rPr>
                <w:rFonts w:hint="eastAsia" w:ascii="仿宋" w:hAnsi="仿宋" w:eastAsia="仿宋" w:cs="仿宋"/>
                <w:sz w:val="24"/>
              </w:rPr>
            </w:pPr>
            <w:r>
              <w:rPr>
                <w:rFonts w:hint="eastAsia" w:ascii="仿宋" w:hAnsi="仿宋" w:eastAsia="仿宋" w:cs="仿宋"/>
                <w:sz w:val="24"/>
              </w:rPr>
              <w:t>特殊作业安全</w:t>
            </w:r>
          </w:p>
        </w:tc>
        <w:tc>
          <w:tcPr>
            <w:tcW w:w="8930" w:type="dxa"/>
            <w:vAlign w:val="center"/>
          </w:tcPr>
          <w:p>
            <w:pPr>
              <w:spacing w:line="320" w:lineRule="exact"/>
              <w:rPr>
                <w:rFonts w:hint="eastAsia" w:ascii="仿宋" w:hAnsi="仿宋" w:eastAsia="仿宋" w:cs="仿宋"/>
                <w:sz w:val="24"/>
              </w:rPr>
            </w:pPr>
            <w:r>
              <w:rPr>
                <w:rFonts w:hint="eastAsia" w:ascii="仿宋" w:hAnsi="仿宋" w:eastAsia="仿宋" w:cs="仿宋"/>
                <w:sz w:val="24"/>
              </w:rPr>
              <w:t>（1）动火作业、进入受限空间作业、破土作业、临时用电作业、高处作业、吊装作业等特殊作业应实施作业许可管理，严格履行审批手续，易燃易爆场所动火作业应提级至主要负责人审批；</w:t>
            </w:r>
          </w:p>
          <w:p>
            <w:pPr>
              <w:spacing w:line="320" w:lineRule="exact"/>
              <w:rPr>
                <w:rFonts w:hint="eastAsia" w:ascii="仿宋" w:hAnsi="仿宋" w:eastAsia="仿宋" w:cs="仿宋"/>
                <w:sz w:val="24"/>
              </w:rPr>
            </w:pPr>
            <w:r>
              <w:rPr>
                <w:rFonts w:hint="eastAsia" w:ascii="仿宋" w:hAnsi="仿宋" w:eastAsia="仿宋" w:cs="仿宋"/>
                <w:sz w:val="24"/>
              </w:rPr>
              <w:t>（2）特殊作业现场配备相应安全防护用品（具）、消防设施及器材；</w:t>
            </w:r>
          </w:p>
          <w:p>
            <w:pPr>
              <w:spacing w:line="320" w:lineRule="exact"/>
              <w:rPr>
                <w:rFonts w:hint="eastAsia" w:ascii="仿宋" w:hAnsi="仿宋" w:eastAsia="仿宋" w:cs="仿宋"/>
                <w:sz w:val="24"/>
              </w:rPr>
            </w:pPr>
            <w:r>
              <w:rPr>
                <w:rFonts w:hint="eastAsia" w:ascii="仿宋" w:hAnsi="仿宋" w:eastAsia="仿宋" w:cs="仿宋"/>
                <w:sz w:val="24"/>
              </w:rPr>
              <w:t>（3）特殊作业现场应设置公示牌，公示牌至少包括技术交底、施工方案、作业票、安全教育培训等内容；</w:t>
            </w:r>
          </w:p>
          <w:p>
            <w:pPr>
              <w:spacing w:line="320" w:lineRule="exact"/>
              <w:rPr>
                <w:rFonts w:hint="eastAsia" w:ascii="仿宋" w:hAnsi="仿宋" w:eastAsia="仿宋" w:cs="仿宋"/>
                <w:sz w:val="24"/>
              </w:rPr>
            </w:pPr>
            <w:r>
              <w:rPr>
                <w:rFonts w:hint="eastAsia" w:ascii="仿宋" w:hAnsi="仿宋" w:eastAsia="仿宋" w:cs="仿宋"/>
                <w:sz w:val="24"/>
              </w:rPr>
              <w:t>（4）特殊作业监护人员应与作业票签名人员一致，按要求进行现场监护，不得随意离开监护岗位</w:t>
            </w:r>
          </w:p>
        </w:tc>
        <w:tc>
          <w:tcPr>
            <w:tcW w:w="1276" w:type="dxa"/>
          </w:tcPr>
          <w:p>
            <w:pPr>
              <w:rPr>
                <w:rFonts w:ascii="仿宋" w:hAnsi="仿宋" w:eastAsia="仿宋" w:cs="仿宋"/>
                <w:sz w:val="24"/>
              </w:rPr>
            </w:pPr>
          </w:p>
        </w:tc>
        <w:tc>
          <w:tcPr>
            <w:tcW w:w="952"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64" w:type="dxa"/>
            <w:vMerge w:val="restart"/>
            <w:vAlign w:val="center"/>
          </w:tcPr>
          <w:p>
            <w:pPr>
              <w:spacing w:line="320" w:lineRule="exact"/>
              <w:rPr>
                <w:rFonts w:hint="eastAsia" w:ascii="仿宋" w:hAnsi="仿宋" w:eastAsia="仿宋" w:cs="仿宋"/>
                <w:sz w:val="24"/>
              </w:rPr>
            </w:pPr>
            <w:r>
              <w:rPr>
                <w:rFonts w:hint="eastAsia" w:ascii="仿宋" w:hAnsi="仿宋" w:eastAsia="仿宋" w:cs="仿宋"/>
                <w:sz w:val="24"/>
              </w:rPr>
              <w:t>9</w:t>
            </w:r>
          </w:p>
        </w:tc>
        <w:tc>
          <w:tcPr>
            <w:tcW w:w="842" w:type="dxa"/>
            <w:gridSpan w:val="2"/>
            <w:vMerge w:val="restart"/>
            <w:vAlign w:val="center"/>
          </w:tcPr>
          <w:p>
            <w:pPr>
              <w:spacing w:line="320" w:lineRule="exact"/>
              <w:rPr>
                <w:rFonts w:hint="eastAsia" w:ascii="仿宋" w:hAnsi="仿宋" w:eastAsia="仿宋" w:cs="仿宋"/>
                <w:sz w:val="24"/>
              </w:rPr>
            </w:pPr>
            <w:r>
              <w:rPr>
                <w:rFonts w:hint="eastAsia" w:ascii="仿宋" w:hAnsi="仿宋" w:eastAsia="仿宋" w:cs="仿宋"/>
                <w:sz w:val="24"/>
              </w:rPr>
              <w:t>应急救援</w:t>
            </w:r>
          </w:p>
        </w:tc>
        <w:tc>
          <w:tcPr>
            <w:tcW w:w="1041" w:type="dxa"/>
            <w:vAlign w:val="center"/>
          </w:tcPr>
          <w:p>
            <w:pPr>
              <w:spacing w:line="320" w:lineRule="exact"/>
              <w:rPr>
                <w:rFonts w:hint="eastAsia" w:ascii="仿宋" w:hAnsi="仿宋" w:eastAsia="仿宋" w:cs="仿宋"/>
                <w:sz w:val="24"/>
              </w:rPr>
            </w:pPr>
            <w:r>
              <w:rPr>
                <w:rFonts w:hint="eastAsia" w:ascii="仿宋" w:hAnsi="仿宋" w:eastAsia="仿宋" w:cs="仿宋"/>
                <w:sz w:val="24"/>
              </w:rPr>
              <w:t>9.1应急预案及演练</w:t>
            </w:r>
          </w:p>
        </w:tc>
        <w:tc>
          <w:tcPr>
            <w:tcW w:w="8930" w:type="dxa"/>
          </w:tcPr>
          <w:p>
            <w:pPr>
              <w:spacing w:line="320" w:lineRule="exact"/>
              <w:rPr>
                <w:rFonts w:hint="eastAsia" w:ascii="仿宋" w:hAnsi="仿宋" w:eastAsia="仿宋" w:cs="仿宋"/>
                <w:sz w:val="24"/>
              </w:rPr>
            </w:pPr>
            <w:r>
              <w:rPr>
                <w:rFonts w:hint="eastAsia" w:ascii="仿宋" w:hAnsi="仿宋" w:eastAsia="仿宋" w:cs="仿宋"/>
                <w:sz w:val="24"/>
                <w:lang w:val="zh-CN"/>
              </w:rPr>
              <w:t>（1）</w:t>
            </w:r>
            <w:r>
              <w:rPr>
                <w:rFonts w:hint="eastAsia" w:ascii="仿宋" w:hAnsi="仿宋" w:eastAsia="仿宋" w:cs="仿宋"/>
                <w:sz w:val="24"/>
              </w:rPr>
              <w:t>企业应根据风险辨识、评估结果编制生产安全事故应急救援预案并经评审或论证；</w:t>
            </w:r>
          </w:p>
          <w:p>
            <w:pPr>
              <w:spacing w:line="320" w:lineRule="exact"/>
              <w:rPr>
                <w:rFonts w:hint="eastAsia" w:ascii="仿宋" w:hAnsi="仿宋" w:eastAsia="仿宋" w:cs="仿宋"/>
                <w:sz w:val="24"/>
              </w:rPr>
            </w:pPr>
            <w:r>
              <w:rPr>
                <w:rFonts w:hint="eastAsia" w:ascii="仿宋" w:hAnsi="仿宋" w:eastAsia="仿宋" w:cs="仿宋"/>
                <w:sz w:val="24"/>
              </w:rPr>
              <w:t>（2）每年至少组织1次综合应急预案演练，每半年至少组织1次现场处置方案演练</w:t>
            </w:r>
          </w:p>
        </w:tc>
        <w:tc>
          <w:tcPr>
            <w:tcW w:w="1276" w:type="dxa"/>
          </w:tcPr>
          <w:p>
            <w:pPr>
              <w:rPr>
                <w:rFonts w:ascii="仿宋" w:hAnsi="仿宋" w:eastAsia="仿宋" w:cs="仿宋"/>
                <w:sz w:val="24"/>
              </w:rPr>
            </w:pPr>
          </w:p>
        </w:tc>
        <w:tc>
          <w:tcPr>
            <w:tcW w:w="952"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64" w:type="dxa"/>
            <w:vMerge w:val="continue"/>
            <w:vAlign w:val="center"/>
          </w:tcPr>
          <w:p>
            <w:pPr>
              <w:spacing w:line="320" w:lineRule="exact"/>
              <w:rPr>
                <w:rFonts w:hint="eastAsia" w:ascii="仿宋" w:hAnsi="仿宋" w:eastAsia="仿宋" w:cs="仿宋"/>
                <w:sz w:val="24"/>
              </w:rPr>
            </w:pPr>
          </w:p>
        </w:tc>
        <w:tc>
          <w:tcPr>
            <w:tcW w:w="842" w:type="dxa"/>
            <w:gridSpan w:val="2"/>
            <w:vMerge w:val="continue"/>
            <w:vAlign w:val="center"/>
          </w:tcPr>
          <w:p>
            <w:pPr>
              <w:spacing w:line="320" w:lineRule="exact"/>
              <w:rPr>
                <w:rFonts w:hint="eastAsia" w:ascii="仿宋" w:hAnsi="仿宋" w:eastAsia="仿宋" w:cs="仿宋"/>
                <w:sz w:val="24"/>
              </w:rPr>
            </w:pPr>
          </w:p>
        </w:tc>
        <w:tc>
          <w:tcPr>
            <w:tcW w:w="1041" w:type="dxa"/>
            <w:vAlign w:val="center"/>
          </w:tcPr>
          <w:p>
            <w:pPr>
              <w:spacing w:line="320" w:lineRule="exact"/>
              <w:rPr>
                <w:rFonts w:hint="eastAsia" w:ascii="仿宋" w:hAnsi="仿宋" w:eastAsia="仿宋" w:cs="仿宋"/>
                <w:sz w:val="24"/>
              </w:rPr>
            </w:pPr>
            <w:r>
              <w:rPr>
                <w:rFonts w:hint="eastAsia" w:ascii="仿宋" w:hAnsi="仿宋" w:eastAsia="仿宋" w:cs="仿宋"/>
                <w:sz w:val="24"/>
              </w:rPr>
              <w:t>9.2应急救援物资配备</w:t>
            </w:r>
          </w:p>
        </w:tc>
        <w:tc>
          <w:tcPr>
            <w:tcW w:w="8930" w:type="dxa"/>
          </w:tcPr>
          <w:p>
            <w:pPr>
              <w:spacing w:line="320" w:lineRule="exact"/>
              <w:rPr>
                <w:rFonts w:hint="eastAsia" w:ascii="仿宋" w:hAnsi="仿宋" w:eastAsia="仿宋" w:cs="仿宋"/>
                <w:sz w:val="24"/>
              </w:rPr>
            </w:pPr>
            <w:r>
              <w:rPr>
                <w:rFonts w:hint="eastAsia" w:ascii="仿宋" w:hAnsi="仿宋" w:eastAsia="仿宋" w:cs="仿宋"/>
                <w:sz w:val="24"/>
                <w:lang w:val="zh-CN"/>
              </w:rPr>
              <w:t>（1）</w:t>
            </w:r>
            <w:r>
              <w:rPr>
                <w:rFonts w:hint="eastAsia" w:ascii="仿宋" w:hAnsi="仿宋" w:eastAsia="仿宋" w:cs="仿宋"/>
                <w:sz w:val="24"/>
              </w:rPr>
              <w:t>厂区各场所应按照《建筑灭火器配置设计规范》（GB50140-2005）的要求配备相应灭火器；</w:t>
            </w:r>
          </w:p>
          <w:p>
            <w:pPr>
              <w:spacing w:line="320" w:lineRule="exact"/>
              <w:rPr>
                <w:rFonts w:hint="eastAsia" w:ascii="仿宋" w:hAnsi="仿宋" w:eastAsia="仿宋" w:cs="仿宋"/>
                <w:sz w:val="24"/>
              </w:rPr>
            </w:pPr>
            <w:r>
              <w:rPr>
                <w:rFonts w:hint="eastAsia" w:ascii="仿宋" w:hAnsi="仿宋" w:eastAsia="仿宋" w:cs="仿宋"/>
                <w:sz w:val="24"/>
              </w:rPr>
              <w:t>（2）厂区应设置室外消火栓系统，建筑占地面积大于300㎡的厂房和仓库应设置室内消火栓系统</w:t>
            </w:r>
          </w:p>
        </w:tc>
        <w:tc>
          <w:tcPr>
            <w:tcW w:w="1276" w:type="dxa"/>
          </w:tcPr>
          <w:p>
            <w:pPr>
              <w:rPr>
                <w:rFonts w:ascii="仿宋" w:hAnsi="仿宋" w:eastAsia="仿宋" w:cs="仿宋"/>
                <w:sz w:val="24"/>
              </w:rPr>
            </w:pPr>
          </w:p>
        </w:tc>
        <w:tc>
          <w:tcPr>
            <w:tcW w:w="952" w:type="dxa"/>
          </w:tcPr>
          <w:p>
            <w:pPr>
              <w:rPr>
                <w:rFonts w:ascii="仿宋" w:hAnsi="仿宋" w:eastAsia="仿宋" w:cs="仿宋"/>
                <w:sz w:val="24"/>
              </w:rPr>
            </w:pP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5079339"/>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8406D"/>
    <w:multiLevelType w:val="multilevel"/>
    <w:tmpl w:val="0BB8406D"/>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5C81"/>
    <w:rsid w:val="0002556B"/>
    <w:rsid w:val="000372C1"/>
    <w:rsid w:val="000543A3"/>
    <w:rsid w:val="00061282"/>
    <w:rsid w:val="000613FE"/>
    <w:rsid w:val="000850F2"/>
    <w:rsid w:val="000A05F4"/>
    <w:rsid w:val="000A5757"/>
    <w:rsid w:val="000A5995"/>
    <w:rsid w:val="000C5F68"/>
    <w:rsid w:val="0011400C"/>
    <w:rsid w:val="00131ED6"/>
    <w:rsid w:val="00136474"/>
    <w:rsid w:val="0015464C"/>
    <w:rsid w:val="001C198E"/>
    <w:rsid w:val="001C6CF3"/>
    <w:rsid w:val="0021078E"/>
    <w:rsid w:val="002167D0"/>
    <w:rsid w:val="0023635F"/>
    <w:rsid w:val="0025638A"/>
    <w:rsid w:val="00282158"/>
    <w:rsid w:val="002E2432"/>
    <w:rsid w:val="003169B6"/>
    <w:rsid w:val="003538CF"/>
    <w:rsid w:val="003550CE"/>
    <w:rsid w:val="003849D5"/>
    <w:rsid w:val="003C0E27"/>
    <w:rsid w:val="00411941"/>
    <w:rsid w:val="00411A73"/>
    <w:rsid w:val="0043387F"/>
    <w:rsid w:val="00436847"/>
    <w:rsid w:val="004509E8"/>
    <w:rsid w:val="00453345"/>
    <w:rsid w:val="00494722"/>
    <w:rsid w:val="004A3D7B"/>
    <w:rsid w:val="00516FBC"/>
    <w:rsid w:val="00523D5A"/>
    <w:rsid w:val="00533B32"/>
    <w:rsid w:val="0053564D"/>
    <w:rsid w:val="00581106"/>
    <w:rsid w:val="005866F6"/>
    <w:rsid w:val="005A608D"/>
    <w:rsid w:val="005A68F7"/>
    <w:rsid w:val="005B17F4"/>
    <w:rsid w:val="005B3AD9"/>
    <w:rsid w:val="005C2B92"/>
    <w:rsid w:val="005E1539"/>
    <w:rsid w:val="005E7B72"/>
    <w:rsid w:val="005F2B24"/>
    <w:rsid w:val="0062262A"/>
    <w:rsid w:val="00635566"/>
    <w:rsid w:val="006435EF"/>
    <w:rsid w:val="006534FF"/>
    <w:rsid w:val="00660851"/>
    <w:rsid w:val="006D6B8E"/>
    <w:rsid w:val="00703D70"/>
    <w:rsid w:val="007334D1"/>
    <w:rsid w:val="00755C81"/>
    <w:rsid w:val="00797AB1"/>
    <w:rsid w:val="007C58F0"/>
    <w:rsid w:val="007F15AB"/>
    <w:rsid w:val="008012C1"/>
    <w:rsid w:val="0081462B"/>
    <w:rsid w:val="00822195"/>
    <w:rsid w:val="00822700"/>
    <w:rsid w:val="00823F7C"/>
    <w:rsid w:val="0082475F"/>
    <w:rsid w:val="00827847"/>
    <w:rsid w:val="00835E2A"/>
    <w:rsid w:val="008468C6"/>
    <w:rsid w:val="00880F2B"/>
    <w:rsid w:val="00885C2C"/>
    <w:rsid w:val="008A3812"/>
    <w:rsid w:val="008C0A4D"/>
    <w:rsid w:val="00901105"/>
    <w:rsid w:val="00907028"/>
    <w:rsid w:val="00910A3F"/>
    <w:rsid w:val="009228C3"/>
    <w:rsid w:val="009248BC"/>
    <w:rsid w:val="00934D8F"/>
    <w:rsid w:val="0096467D"/>
    <w:rsid w:val="00972F0A"/>
    <w:rsid w:val="00992899"/>
    <w:rsid w:val="009B6AAA"/>
    <w:rsid w:val="009F01C1"/>
    <w:rsid w:val="00A00329"/>
    <w:rsid w:val="00A05242"/>
    <w:rsid w:val="00A464DC"/>
    <w:rsid w:val="00A46904"/>
    <w:rsid w:val="00A7034D"/>
    <w:rsid w:val="00A70C65"/>
    <w:rsid w:val="00A94435"/>
    <w:rsid w:val="00AA23FE"/>
    <w:rsid w:val="00AA478C"/>
    <w:rsid w:val="00AC1F42"/>
    <w:rsid w:val="00B06CB1"/>
    <w:rsid w:val="00B07B5C"/>
    <w:rsid w:val="00B222E8"/>
    <w:rsid w:val="00B33195"/>
    <w:rsid w:val="00B545B7"/>
    <w:rsid w:val="00B61879"/>
    <w:rsid w:val="00B94254"/>
    <w:rsid w:val="00BA03DD"/>
    <w:rsid w:val="00BA34D7"/>
    <w:rsid w:val="00BA54F9"/>
    <w:rsid w:val="00BC6A1A"/>
    <w:rsid w:val="00C01AA8"/>
    <w:rsid w:val="00C55DF5"/>
    <w:rsid w:val="00C62916"/>
    <w:rsid w:val="00C90879"/>
    <w:rsid w:val="00C95B3C"/>
    <w:rsid w:val="00CC77ED"/>
    <w:rsid w:val="00CD144B"/>
    <w:rsid w:val="00CD49A6"/>
    <w:rsid w:val="00CF309C"/>
    <w:rsid w:val="00D24D50"/>
    <w:rsid w:val="00D874AF"/>
    <w:rsid w:val="00DC3A64"/>
    <w:rsid w:val="00E151BA"/>
    <w:rsid w:val="00E15E6E"/>
    <w:rsid w:val="00E16867"/>
    <w:rsid w:val="00E271D9"/>
    <w:rsid w:val="00E51877"/>
    <w:rsid w:val="00E61413"/>
    <w:rsid w:val="00E70B9D"/>
    <w:rsid w:val="00E920CB"/>
    <w:rsid w:val="00EB2127"/>
    <w:rsid w:val="00EC70F5"/>
    <w:rsid w:val="00EC7862"/>
    <w:rsid w:val="00ED69A2"/>
    <w:rsid w:val="00EF208E"/>
    <w:rsid w:val="00F11073"/>
    <w:rsid w:val="00F16CF1"/>
    <w:rsid w:val="00F33DE9"/>
    <w:rsid w:val="00F4165E"/>
    <w:rsid w:val="00F77B4B"/>
    <w:rsid w:val="00FB792A"/>
    <w:rsid w:val="01A0453D"/>
    <w:rsid w:val="08166972"/>
    <w:rsid w:val="0DAC7AF6"/>
    <w:rsid w:val="122D1F74"/>
    <w:rsid w:val="145B2DC4"/>
    <w:rsid w:val="162916BB"/>
    <w:rsid w:val="19F64834"/>
    <w:rsid w:val="37912093"/>
    <w:rsid w:val="441A50C1"/>
    <w:rsid w:val="47D96A4A"/>
    <w:rsid w:val="48006E8E"/>
    <w:rsid w:val="4D854450"/>
    <w:rsid w:val="4F7D1277"/>
    <w:rsid w:val="5BB246D2"/>
    <w:rsid w:val="5F131F60"/>
    <w:rsid w:val="63753EC2"/>
    <w:rsid w:val="68330447"/>
    <w:rsid w:val="6900701F"/>
    <w:rsid w:val="70730FD4"/>
    <w:rsid w:val="73F82AAE"/>
    <w:rsid w:val="73F87A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5"/>
    <w:link w:val="4"/>
    <w:qFormat/>
    <w:uiPriority w:val="0"/>
    <w:rPr>
      <w:rFonts w:asciiTheme="minorHAnsi" w:hAnsiTheme="minorHAnsi" w:eastAsiaTheme="minorEastAsia" w:cstheme="minorBidi"/>
      <w:kern w:val="2"/>
      <w:sz w:val="18"/>
      <w:szCs w:val="18"/>
    </w:rPr>
  </w:style>
  <w:style w:type="character" w:customStyle="1" w:styleId="10">
    <w:name w:val="页脚 Char"/>
    <w:basedOn w:val="5"/>
    <w:link w:val="3"/>
    <w:qFormat/>
    <w:uiPriority w:val="99"/>
    <w:rPr>
      <w:rFonts w:asciiTheme="minorHAnsi" w:hAnsiTheme="minorHAnsi" w:eastAsiaTheme="minorEastAsia" w:cstheme="minorBidi"/>
      <w:kern w:val="2"/>
      <w:sz w:val="18"/>
      <w:szCs w:val="18"/>
    </w:rPr>
  </w:style>
  <w:style w:type="character" w:customStyle="1" w:styleId="11">
    <w:name w:val="批注框文本 Char"/>
    <w:basedOn w:val="5"/>
    <w:link w:val="2"/>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41D089-FC99-4A92-B33A-B4454825C555}">
  <ds:schemaRefs/>
</ds:datastoreItem>
</file>

<file path=docProps/app.xml><?xml version="1.0" encoding="utf-8"?>
<Properties xmlns="http://schemas.openxmlformats.org/officeDocument/2006/extended-properties" xmlns:vt="http://schemas.openxmlformats.org/officeDocument/2006/docPropsVTypes">
  <Template>Normal</Template>
  <Pages>4</Pages>
  <Words>305</Words>
  <Characters>1742</Characters>
  <Lines>14</Lines>
  <Paragraphs>4</Paragraphs>
  <TotalTime>0</TotalTime>
  <ScaleCrop>false</ScaleCrop>
  <LinksUpToDate>false</LinksUpToDate>
  <CharactersWithSpaces>2043</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2020-06-14T14:14:00Z</dcterms:created>
  <dc:creator>lizh</dc:creator>
  <cp:lastModifiedBy>于新军</cp:lastModifiedBy>
  <dcterms:modified xsi:type="dcterms:W3CDTF">2020-10-16T03:08:27Z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