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left"/>
        <w:outlineLvl w:val="1"/>
        <w:rPr>
          <w:rFonts w:hint="default" w:ascii="Times New Roman" w:hAnsi="Times New Roman" w:eastAsia="黑体" w:cs="Times New Roman"/>
          <w:bCs/>
          <w:sz w:val="24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4"/>
          <w:szCs w:val="21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sz w:val="24"/>
          <w:szCs w:val="21"/>
          <w:lang w:val="en-US" w:eastAsia="zh-CN"/>
        </w:rPr>
        <w:t>2</w:t>
      </w:r>
    </w:p>
    <w:p>
      <w:pPr>
        <w:spacing w:before="156" w:beforeLines="50" w:after="156" w:afterLines="50" w:line="360" w:lineRule="auto"/>
        <w:jc w:val="center"/>
        <w:outlineLvl w:val="1"/>
        <w:rPr>
          <w:rFonts w:ascii="Times New Roman" w:hAnsi="Times New Roman" w:eastAsia="黑体" w:cs="Times New Roman"/>
          <w:bCs/>
          <w:sz w:val="24"/>
          <w:szCs w:val="21"/>
        </w:rPr>
      </w:pPr>
      <w:r>
        <w:rPr>
          <w:rFonts w:hint="eastAsia" w:ascii="Times New Roman" w:hAnsi="Times New Roman" w:eastAsia="黑体" w:cs="Times New Roman"/>
          <w:bCs/>
          <w:sz w:val="24"/>
          <w:szCs w:val="21"/>
        </w:rPr>
        <w:t>A.</w:t>
      </w:r>
      <w:r>
        <w:rPr>
          <w:rFonts w:ascii="Times New Roman" w:hAnsi="Times New Roman" w:eastAsia="黑体" w:cs="Times New Roman"/>
          <w:bCs/>
          <w:sz w:val="24"/>
          <w:szCs w:val="21"/>
        </w:rPr>
        <w:t xml:space="preserve">64 </w:t>
      </w:r>
      <w:r>
        <w:rPr>
          <w:rFonts w:hint="eastAsia" w:ascii="Times New Roman" w:hAnsi="Times New Roman" w:eastAsia="黑体" w:cs="Times New Roman"/>
          <w:bCs/>
          <w:sz w:val="24"/>
          <w:szCs w:val="21"/>
        </w:rPr>
        <w:t>公共交通企业安全风险初步筛查标准</w:t>
      </w:r>
    </w:p>
    <w:tbl>
      <w:tblPr>
        <w:tblStyle w:val="33"/>
        <w:tblW w:w="8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417"/>
        <w:gridCol w:w="3969"/>
        <w:gridCol w:w="709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客观指标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（分值比重）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客观风险因素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判定依据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1.人员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%）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/>
              <w:keepLines/>
              <w:outlineLvl w:val="4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1.1驾驶员年龄</w:t>
            </w:r>
          </w:p>
          <w:p>
            <w:pPr>
              <w:keepNext/>
              <w:keepLines/>
              <w:outlineLvl w:val="4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（10分）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600" w:firstLineChars="30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驾驶员平均年龄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30岁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/>
              <w:keepLines/>
              <w:numPr>
                <w:ilvl w:val="0"/>
                <w:numId w:val="1"/>
              </w:numPr>
              <w:ind w:left="0" w:firstLine="0"/>
              <w:jc w:val="center"/>
              <w:outlineLvl w:val="4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45岁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驾驶员平均年龄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60岁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5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/>
              <w:keepLines/>
              <w:numPr>
                <w:ilvl w:val="0"/>
                <w:numId w:val="1"/>
              </w:numPr>
              <w:ind w:left="0" w:firstLine="0"/>
              <w:jc w:val="center"/>
              <w:outlineLvl w:val="4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30岁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驾驶员平均年龄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45岁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2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/>
              <w:keepLines/>
              <w:outlineLvl w:val="4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1.2驾驶员驾龄</w:t>
            </w:r>
          </w:p>
          <w:p>
            <w:pPr>
              <w:keepNext/>
              <w:keepLines/>
              <w:outlineLvl w:val="4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（10分）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驾驶员平均驾龄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5年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/>
              <w:keepLines/>
              <w:numPr>
                <w:ilvl w:val="0"/>
                <w:numId w:val="1"/>
              </w:numPr>
              <w:ind w:left="0" w:firstLine="0"/>
              <w:jc w:val="center"/>
              <w:outlineLvl w:val="4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5年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驾驶员平均驾龄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10年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5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/>
              <w:keepLines/>
              <w:numPr>
                <w:ilvl w:val="0"/>
                <w:numId w:val="1"/>
              </w:numPr>
              <w:ind w:left="0" w:firstLine="0"/>
              <w:jc w:val="center"/>
              <w:outlineLvl w:val="4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10年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驾驶员平均驾龄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2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.车辆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%）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.1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车辆类型</w:t>
            </w:r>
          </w:p>
          <w:p>
            <w:pPr>
              <w:keepNext/>
              <w:keepLines/>
              <w:outlineLvl w:val="4"/>
              <w:rPr>
                <w:rFonts w:ascii="Times New Roman" w:hAnsi="Times New Roman" w:eastAsia="仿宋_GB2312" w:cs="Times New Roman"/>
                <w:b/>
                <w:color w:val="FF0000"/>
                <w:kern w:val="0"/>
                <w:sz w:val="28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（10分）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特大型（12米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车长）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大型（9米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车长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12米）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7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中型（7米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车长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9米）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5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小型（车长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7米）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3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.2车辆数量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300辆≤车辆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20辆≤车辆＜300辆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5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600" w:firstLineChars="30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车辆＜20辆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2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.3车辆技术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状况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（5分）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5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3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1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.4车辆使用年限（10分）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(注：2.4和2.5取得分高者计入总分)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年≤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公交车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使用年限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年≤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公交车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使用年限＜1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5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600" w:firstLineChars="300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公交车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使用年限＜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2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年≤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出租车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使用年限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年≤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出租车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使用年限＜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5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出租车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使用年限＜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2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.5行驶里程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（10分）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(注：2.4和2.5取得分高者计入总分)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0万km≤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公交车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行驶里程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0万km≤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公交车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行驶里程＜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0万km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5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800" w:firstLineChars="400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公交车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行驶里程＜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0万km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2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50万km≤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出租车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行驶里程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20万km≤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出租车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行驶里程＜50万km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5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800" w:firstLineChars="400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出租车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行驶里程＜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0万km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2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车辆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运行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%）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.1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营运路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线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经过高速或快速路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5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不经过高速或快速路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2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.2驾驶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时间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4h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日间连续驾驶时间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2h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夜间连续驾驶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日间连续驾驶时间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＜4h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或夜间连续驾驶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时间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＜2h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5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3.3行驶速度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km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/h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行驶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速度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80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km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/h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行驶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速度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km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/h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7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km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/h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行驶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速度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80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km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/h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5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800" w:firstLineChars="400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行驶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速度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60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km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/h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2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0"/>
                <w:lang w:bidi="ar"/>
              </w:rPr>
              <w:t>4.场站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0"/>
                <w:lang w:bidi="ar"/>
              </w:rPr>
              <w:t>25</w:t>
            </w:r>
            <w:r>
              <w:rPr>
                <w:rFonts w:ascii="Times New Roman" w:hAnsi="Times New Roman" w:eastAsia="仿宋_GB2312" w:cs="Times New Roman"/>
                <w:kern w:val="0"/>
                <w:szCs w:val="20"/>
                <w:lang w:bidi="ar"/>
              </w:rPr>
              <w:t>%）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0"/>
                <w:lang w:bidi="ar"/>
              </w:rPr>
              <w:t>4.1充电设施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0"/>
                <w:lang w:bidi="ar"/>
              </w:rPr>
              <w:t>（5分）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Times New Roman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 w:val="20"/>
                <w:szCs w:val="21"/>
              </w:rPr>
              <w:t>场站内有充电设施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5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Times New Roman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 w:val="20"/>
                <w:szCs w:val="21"/>
              </w:rPr>
              <w:t>场站内无充电设施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0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4.2场站位置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0"/>
                <w:lang w:bidi="ar"/>
              </w:rPr>
              <w:t>（10分）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Times New Roman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 w:val="20"/>
                <w:szCs w:val="21"/>
              </w:rPr>
              <w:t>场站位于人口集中的居住区、办公区、大型商业区等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Times New Roman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 w:val="20"/>
                <w:szCs w:val="21"/>
              </w:rPr>
              <w:t>场站周边有医院、学校等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5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Times New Roman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 w:val="20"/>
                <w:szCs w:val="21"/>
              </w:rPr>
              <w:t>场站周边无医院、学校等场所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2</w:t>
            </w: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4.3应急救援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0"/>
                <w:lang w:bidi="ar"/>
              </w:rPr>
              <w:t>（10分）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周边1km范围内无专业消防队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周边1km范围内有专业消防队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 w:bidi="ar"/>
              </w:rPr>
              <w:t>合计</w:t>
            </w:r>
          </w:p>
        </w:tc>
        <w:tc>
          <w:tcPr>
            <w:tcW w:w="666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</w:tbl>
    <w:p>
      <w:pPr>
        <w:rPr>
          <w:rFonts w:ascii="仿宋_GB2312" w:hAnsi="仿宋_GB2312" w:eastAsia="仿宋_GB2312" w:cs="Times New Roman"/>
          <w:sz w:val="20"/>
        </w:rPr>
      </w:pPr>
    </w:p>
    <w:p>
      <w:pPr>
        <w:widowControl/>
        <w:jc w:val="left"/>
      </w:pP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 w:line="360" w:lineRule="auto"/>
        <w:jc w:val="center"/>
        <w:outlineLvl w:val="1"/>
        <w:rPr>
          <w:rFonts w:ascii="Times New Roman" w:hAnsi="Times New Roman" w:eastAsia="黑体" w:cs="Times New Roman"/>
          <w:bCs/>
          <w:sz w:val="24"/>
          <w:szCs w:val="21"/>
        </w:rPr>
      </w:pPr>
      <w:bookmarkStart w:id="0" w:name="_Toc49878534"/>
      <w:bookmarkStart w:id="1" w:name="_Toc48577478"/>
      <w:r>
        <w:rPr>
          <w:rFonts w:ascii="Times New Roman" w:hAnsi="Times New Roman" w:eastAsia="黑体" w:cs="Times New Roman"/>
          <w:bCs/>
          <w:sz w:val="24"/>
          <w:szCs w:val="21"/>
        </w:rPr>
        <w:t>A.</w:t>
      </w:r>
      <w:r>
        <w:rPr>
          <w:rFonts w:hint="eastAsia" w:ascii="Times New Roman" w:hAnsi="Times New Roman" w:eastAsia="黑体" w:cs="Times New Roman"/>
          <w:bCs/>
          <w:sz w:val="24"/>
          <w:szCs w:val="21"/>
        </w:rPr>
        <w:t>65</w:t>
      </w:r>
      <w:r>
        <w:rPr>
          <w:rFonts w:ascii="Times New Roman" w:hAnsi="Times New Roman" w:eastAsia="黑体" w:cs="Times New Roman"/>
          <w:bCs/>
          <w:sz w:val="24"/>
          <w:szCs w:val="21"/>
        </w:rPr>
        <w:t xml:space="preserve"> </w:t>
      </w:r>
      <w:r>
        <w:rPr>
          <w:rFonts w:hint="eastAsia" w:ascii="Times New Roman" w:hAnsi="Times New Roman" w:eastAsia="黑体" w:cs="Times New Roman"/>
          <w:bCs/>
          <w:sz w:val="24"/>
          <w:szCs w:val="21"/>
        </w:rPr>
        <w:t>实验室</w:t>
      </w:r>
      <w:r>
        <w:rPr>
          <w:rFonts w:hint="eastAsia" w:ascii="Times New Roman" w:hAnsi="Times New Roman" w:eastAsia="黑体" w:cs="Times New Roman"/>
          <w:bCs/>
          <w:sz w:val="24"/>
          <w:szCs w:val="21"/>
          <w:lang w:eastAsia="zh-CN"/>
        </w:rPr>
        <w:t>（</w:t>
      </w:r>
      <w:r>
        <w:rPr>
          <w:rFonts w:hint="eastAsia" w:ascii="Times New Roman" w:hAnsi="Times New Roman" w:eastAsia="黑体" w:cs="Times New Roman"/>
          <w:bCs/>
          <w:sz w:val="24"/>
          <w:szCs w:val="21"/>
        </w:rPr>
        <w:t>检测机构</w:t>
      </w:r>
      <w:r>
        <w:rPr>
          <w:rFonts w:hint="eastAsia" w:ascii="Times New Roman" w:hAnsi="Times New Roman" w:eastAsia="黑体" w:cs="Times New Roman"/>
          <w:bCs/>
          <w:sz w:val="24"/>
          <w:szCs w:val="21"/>
          <w:lang w:eastAsia="zh-CN"/>
        </w:rPr>
        <w:t>）</w:t>
      </w:r>
      <w:r>
        <w:rPr>
          <w:rFonts w:ascii="Times New Roman" w:hAnsi="Times New Roman" w:eastAsia="黑体" w:cs="Times New Roman"/>
          <w:bCs/>
          <w:sz w:val="24"/>
          <w:szCs w:val="21"/>
        </w:rPr>
        <w:t>安全风险初步筛查标准</w:t>
      </w:r>
      <w:bookmarkEnd w:id="0"/>
      <w:bookmarkEnd w:id="1"/>
    </w:p>
    <w:tbl>
      <w:tblPr>
        <w:tblStyle w:val="33"/>
        <w:tblW w:w="84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360"/>
        <w:gridCol w:w="4530"/>
        <w:gridCol w:w="454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tblHeader/>
          <w:jc w:val="center"/>
        </w:trPr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客观指标</w:t>
            </w: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（分值比重）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客观风险因素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客观风险描述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分值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1.人员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（1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1.1单一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实验室（场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所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）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最大人数（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10人≤人数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Cs w:val="18"/>
              </w:rPr>
              <w:t>1</w:t>
            </w: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0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人≤人数＜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  <w:lang w:val="en-US" w:eastAsia="zh-CN"/>
              </w:rPr>
              <w:t>5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人数＜3人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  <w:lang w:val="en-US" w:eastAsia="zh-CN"/>
              </w:rPr>
              <w:t>3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2.危险化学品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（1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化学品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剧毒化学品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10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危险化学品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  <w:lang w:val="en-US" w:eastAsia="zh-CN"/>
              </w:rPr>
              <w:t>5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设备设施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3.1工业气瓶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三种以上气瓶（如氧气、氮气、乙炔）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  <w:lang w:val="en-US" w:eastAsia="zh-CN"/>
              </w:rPr>
              <w:t>5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  <w:t>使用工业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气瓶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  <w:lang w:val="en-US" w:eastAsia="zh-CN"/>
              </w:rPr>
              <w:t>3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3.2压力管道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有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5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3.3放射性设备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有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  <w:lang w:val="en-US" w:eastAsia="zh-CN"/>
              </w:rPr>
              <w:t>5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3.4生物病原体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细菌、病毒、真菌、寄生虫等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  <w:lang w:val="en-US" w:eastAsia="zh-CN"/>
              </w:rPr>
              <w:t>5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3.5有限空间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有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10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3.6锅炉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有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5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4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  <w:t>电气线路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4.1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  <w:t>电气线路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未改造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  <w:lang w:val="en-US" w:eastAsia="zh-CN"/>
              </w:rPr>
              <w:t>10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近三年经过改造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4.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变、配电站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有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  <w:lang w:val="en-US" w:eastAsia="zh-CN"/>
              </w:rPr>
              <w:t>2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4.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大功率电器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有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  <w:lang w:val="en-US" w:eastAsia="zh-CN"/>
              </w:rPr>
              <w:t>3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5.站区环境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5.1所在楼层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实验室位于四楼及以上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3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实验室位于二、三楼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2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实验室位于一楼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1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5.2单位布局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与其他单位位于同一建筑内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3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独栋建筑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18"/>
              </w:rPr>
              <w:t>1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5.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站区围墙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站区四周未设置不燃烧材料围墙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站区四周设置了不燃烧材料围墙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5.4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消防供水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无喷淋系统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依托市政管网供水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自建消防供水系统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5.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消防车道（2分）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未设置环形消防车道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设置了环形消防车道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6.外部环境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（10%）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6.1敏感目标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（5分）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周边50米范围内存在学校、居住区、商场、医院、养老院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周边50米范围内不存在以上场所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6.2应急队伍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（5分）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周边1km范围内无专业消防队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周边1km范围内有专业消防队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合计</w:t>
            </w:r>
          </w:p>
        </w:tc>
        <w:tc>
          <w:tcPr>
            <w:tcW w:w="702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spacing w:before="156" w:beforeLines="50" w:after="156" w:afterLines="50" w:line="360" w:lineRule="auto"/>
        <w:jc w:val="center"/>
        <w:outlineLvl w:val="1"/>
        <w:rPr>
          <w:rFonts w:ascii="仿宋_GB2312" w:hAnsi="宋体" w:eastAsia="仿宋_GB2312" w:cs="宋体"/>
          <w:b/>
          <w:kern w:val="36"/>
          <w:sz w:val="28"/>
          <w:szCs w:val="48"/>
        </w:rPr>
      </w:pPr>
      <w:r>
        <w:rPr>
          <w:rFonts w:ascii="Times New Roman"/>
          <w:sz w:val="24"/>
        </w:rPr>
        <w:br w:type="page"/>
      </w:r>
      <w:bookmarkStart w:id="2" w:name="_Toc49878535"/>
      <w:r>
        <w:rPr>
          <w:rFonts w:ascii="Times New Roman"/>
          <w:sz w:val="24"/>
        </w:rPr>
        <w:t xml:space="preserve">A.66 </w:t>
      </w:r>
      <w:r>
        <w:rPr>
          <w:rFonts w:hint="eastAsia" w:ascii="Times New Roman" w:hAnsi="Times New Roman" w:eastAsia="黑体" w:cs="Times New Roman"/>
          <w:bCs/>
          <w:sz w:val="24"/>
          <w:szCs w:val="21"/>
        </w:rPr>
        <w:t>诊所安全风险初步筛查标准</w:t>
      </w:r>
      <w:bookmarkEnd w:id="2"/>
    </w:p>
    <w:tbl>
      <w:tblPr>
        <w:tblStyle w:val="33"/>
        <w:tblW w:w="8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18"/>
        <w:gridCol w:w="4961"/>
        <w:gridCol w:w="425"/>
        <w:gridCol w:w="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客观指标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（分值比重）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客观风险因素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判定依据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人员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%）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1日就诊量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300人次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日就诊量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200人次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日门诊量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300人次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50人次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日门诊量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200人次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800" w:firstLineChars="40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日门诊量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50人次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2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2.物料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设施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%）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2.1危险化学品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（10分）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500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kg≤最大储存量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0kg≤最大储存量＜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500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600" w:firstLineChars="300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最大储存量＜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0kg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无危险化学品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2.2氧气瓶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（10分）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有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2.3有限空间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（10分）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有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.消防设施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10%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.1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烟感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有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.2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喷淋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有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3.3电气火灾监控系统（5分）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有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4.建筑设施（25%）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/>
              <w:keepLines/>
              <w:numPr>
                <w:ilvl w:val="0"/>
                <w:numId w:val="0"/>
              </w:numPr>
              <w:ind w:leftChars="0"/>
              <w:jc w:val="center"/>
              <w:outlineLvl w:val="4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.1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使用性质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（5分）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诊所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社康中心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4.2设立位置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（5分）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位于地下或半地下场所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位于居民楼下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3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位于独立建筑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1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4.3使用面积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（10分）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1000m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使用面积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10</w:t>
            </w:r>
          </w:p>
        </w:tc>
        <w:tc>
          <w:tcPr>
            <w:tcW w:w="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500m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使用面积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1000m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7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300m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使用面积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500m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100m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使用面积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300m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3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600" w:firstLineChars="30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使用面积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100m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1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4.3建筑年限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（5分）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10年以上未经改造建筑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10年以上经改造建筑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3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10年以内建筑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2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5年以内建筑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1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5.应急疏散（15%）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5.1逃生出口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（5分）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1个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2个及以上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2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5.2应急照明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（5分）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有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0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5.3疏散指示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（5分）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有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0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6.周边环境（10%）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6.1敏感目标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（5分）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周边50米范围内液化气站、加油加气站等易燃易爆场所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周边50米范围内无以上敏感目标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6.2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应急队伍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周边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1km范围内无专业消防队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周边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1km范围内有专业消防队</w:t>
            </w:r>
          </w:p>
        </w:tc>
        <w:tc>
          <w:tcPr>
            <w:tcW w:w="4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 w:bidi="ar"/>
              </w:rPr>
              <w:t>合计</w:t>
            </w:r>
          </w:p>
        </w:tc>
        <w:tc>
          <w:tcPr>
            <w:tcW w:w="722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0"/>
                <w:szCs w:val="20"/>
              </w:rPr>
            </w:pPr>
          </w:p>
        </w:tc>
      </w:tr>
    </w:tbl>
    <w:p>
      <w:pPr>
        <w:rPr>
          <w:rFonts w:ascii="仿宋_GB2312" w:hAnsi="仿宋_GB2312" w:eastAsia="仿宋_GB2312" w:cs="Times New Roman"/>
          <w:sz w:val="20"/>
        </w:rPr>
      </w:pPr>
    </w:p>
    <w:p>
      <w:pPr>
        <w:spacing w:before="156" w:beforeLines="50" w:after="156" w:afterLines="50" w:line="360" w:lineRule="auto"/>
        <w:jc w:val="center"/>
        <w:outlineLvl w:val="1"/>
        <w:rPr>
          <w:rFonts w:ascii="宋体" w:hAnsi="宋体" w:eastAsia="宋体" w:cs="宋体"/>
          <w:b/>
          <w:kern w:val="36"/>
          <w:sz w:val="28"/>
          <w:szCs w:val="48"/>
        </w:rPr>
      </w:pPr>
      <w:r>
        <w:rPr>
          <w:rFonts w:ascii="Times New Roman"/>
          <w:sz w:val="24"/>
        </w:rPr>
        <w:br w:type="page"/>
      </w:r>
      <w:bookmarkStart w:id="3" w:name="_Toc49878536"/>
      <w:r>
        <w:rPr>
          <w:rFonts w:hint="eastAsia" w:ascii="Times New Roman"/>
          <w:sz w:val="24"/>
        </w:rPr>
        <w:t>A.67</w:t>
      </w:r>
      <w:r>
        <w:rPr>
          <w:rFonts w:ascii="Times New Roman"/>
          <w:sz w:val="24"/>
        </w:rPr>
        <w:t xml:space="preserve"> </w:t>
      </w:r>
      <w:r>
        <w:rPr>
          <w:rFonts w:hint="eastAsia" w:ascii="Times New Roman" w:hAnsi="Times New Roman" w:eastAsia="黑体" w:cs="Times New Roman"/>
          <w:bCs/>
          <w:sz w:val="24"/>
          <w:szCs w:val="21"/>
        </w:rPr>
        <w:t>机动车维修企业安全风险分级标准</w:t>
      </w:r>
      <w:bookmarkEnd w:id="3"/>
    </w:p>
    <w:tbl>
      <w:tblPr>
        <w:tblStyle w:val="33"/>
        <w:tblW w:w="83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276"/>
        <w:gridCol w:w="4532"/>
        <w:gridCol w:w="631"/>
        <w:gridCol w:w="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tblHeader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lang w:bidi="ar"/>
              </w:rPr>
              <w:t>客观指标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lang w:bidi="ar"/>
              </w:rPr>
              <w:t>（分值比重）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lang w:bidi="ar"/>
              </w:rPr>
              <w:t>客观风险因素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lang w:bidi="ar"/>
              </w:rPr>
              <w:t>客观风险描述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0"/>
                <w:lang w:bidi="ar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1.类型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bCs/>
                <w:kern w:val="0"/>
                <w:sz w:val="2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0"/>
                <w:szCs w:val="1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0"/>
                <w:szCs w:val="18"/>
                <w:lang w:bidi="ar"/>
              </w:rPr>
              <w:t>0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0"/>
                <w:szCs w:val="18"/>
                <w:lang w:bidi="ar"/>
              </w:rPr>
              <w:t>%）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1.1汽车维修企业类型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仿宋" w:cs="Times New Roman"/>
                <w:sz w:val="20"/>
                <w:szCs w:val="18"/>
              </w:rPr>
              <w:t>(</w:t>
            </w:r>
            <w:r>
              <w:rPr>
                <w:rFonts w:hint="eastAsia" w:ascii="Times New Roman" w:hAnsi="Times New Roman" w:eastAsia="仿宋" w:cs="Times New Roman"/>
                <w:sz w:val="20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eastAsia="仿宋" w:cs="Times New Roman"/>
                <w:sz w:val="20"/>
                <w:szCs w:val="18"/>
              </w:rPr>
              <w:t>分）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一类汽车维修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eastAsia="zh-CN"/>
              </w:rPr>
              <w:t>两项取最大值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二类汽车维修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三类汽车维修（包括汽车美容店）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5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摩托车维修企业类型</w:t>
            </w:r>
            <w:r>
              <w:rPr>
                <w:rFonts w:ascii="Times New Roman" w:hAnsi="Times New Roman" w:eastAsia="仿宋" w:cs="Times New Roman"/>
                <w:sz w:val="20"/>
                <w:szCs w:val="18"/>
              </w:rPr>
              <w:t>(</w:t>
            </w:r>
            <w:r>
              <w:rPr>
                <w:rFonts w:hint="eastAsia" w:ascii="Times New Roman" w:hAnsi="Times New Roman" w:eastAsia="仿宋" w:cs="Times New Roman"/>
                <w:sz w:val="20"/>
                <w:szCs w:val="18"/>
              </w:rPr>
              <w:t>10</w:t>
            </w:r>
            <w:r>
              <w:rPr>
                <w:rFonts w:ascii="Times New Roman" w:hAnsi="Times New Roman" w:eastAsia="仿宋" w:cs="Times New Roman"/>
                <w:sz w:val="20"/>
                <w:szCs w:val="18"/>
              </w:rPr>
              <w:t>分）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一类摩托车维修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10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二类摩托车维修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5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2.人数（10%）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2.1从业人员数量(10分）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30人≤人数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10人≤人数＜30人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100" w:firstLineChars="50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3人≤人数＜10人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5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714" w:firstLineChars="357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人数＜3人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1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3.经营或使用物品性质（15%）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3.1涉及易燃易爆物品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(15分）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使用易燃易爆物品（如天那水清洗剂、汽油清洗剂、油性漆等易燃物品）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15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无易燃易爆物品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0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4.工艺或设备（15%）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4.1喷漆工艺(5分）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有喷漆工艺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5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无喷漆工艺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0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4.2大型设备(5分）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存在举升机、四轮定位仪、轮胎车装机、轮胎平衡机、大梁校正仪等设备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5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不存在上述大型设备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0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4.3气瓶(5分）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使用乙炔气瓶和氧气气瓶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5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使用二氧化碳气瓶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无气瓶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0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5.建筑设施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（15%）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5.1墙体分隔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（5分）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非实体墙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  <w:t>5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实体墙到顶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  <w:t>0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5.2存在阁楼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（5分）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有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  <w:t>5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无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  <w:t>0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5.3建筑年限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（5分）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10年以上未经改造建筑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  <w:t>5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10年以上经改造建筑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  <w:t>3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10年以内建筑</w:t>
            </w:r>
          </w:p>
        </w:tc>
        <w:tc>
          <w:tcPr>
            <w:tcW w:w="63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  <w:t>2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5年以内建筑</w:t>
            </w:r>
          </w:p>
        </w:tc>
        <w:tc>
          <w:tcPr>
            <w:tcW w:w="63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6.消防设施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（10%）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6.1烟感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（2分）</w:t>
            </w:r>
          </w:p>
        </w:tc>
        <w:tc>
          <w:tcPr>
            <w:tcW w:w="45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无</w:t>
            </w:r>
          </w:p>
        </w:tc>
        <w:tc>
          <w:tcPr>
            <w:tcW w:w="63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有</w:t>
            </w:r>
          </w:p>
        </w:tc>
        <w:tc>
          <w:tcPr>
            <w:tcW w:w="63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6.2喷淋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（3分）</w:t>
            </w:r>
          </w:p>
        </w:tc>
        <w:tc>
          <w:tcPr>
            <w:tcW w:w="453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无</w:t>
            </w:r>
          </w:p>
        </w:tc>
        <w:tc>
          <w:tcPr>
            <w:tcW w:w="63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0"/>
                <w:szCs w:val="18"/>
                <w:lang w:val="en-US" w:eastAsia="zh-CN"/>
              </w:rPr>
              <w:t>3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有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  <w:t>0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6.3电气火灾监控系统（5分）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无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sz w:val="20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0"/>
                <w:szCs w:val="18"/>
                <w:lang w:val="en-US" w:eastAsia="zh-CN"/>
              </w:rPr>
              <w:t>5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有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  <w:t>0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0"/>
                <w:szCs w:val="18"/>
                <w:lang w:bidi="ar"/>
              </w:rPr>
              <w:t>7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0"/>
                <w:szCs w:val="18"/>
                <w:lang w:bidi="ar"/>
              </w:rPr>
              <w:t>.应急疏散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bCs/>
                <w:kern w:val="0"/>
                <w:sz w:val="20"/>
                <w:szCs w:val="18"/>
                <w:lang w:bidi="ar"/>
              </w:rPr>
              <w:t>（10%）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7.1逃生出口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（5分）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无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  <w:t>5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有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  <w:t>0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0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7.2应急照明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(3分）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无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0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有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  <w:t>0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highlight w:val="yellow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7.3疏散指示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(2分）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无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  <w:t>2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highlight w:val="yellow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有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  <w:t>0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highlight w:val="yellow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0"/>
                <w:szCs w:val="18"/>
                <w:lang w:bidi="ar"/>
              </w:rPr>
              <w:t>8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0"/>
                <w:szCs w:val="18"/>
                <w:lang w:bidi="ar"/>
              </w:rPr>
              <w:t>.周边环境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bCs/>
                <w:kern w:val="0"/>
                <w:sz w:val="2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0"/>
                <w:szCs w:val="18"/>
                <w:lang w:bidi="ar"/>
              </w:rPr>
              <w:t>25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0"/>
                <w:szCs w:val="18"/>
                <w:lang w:bidi="ar"/>
              </w:rPr>
              <w:t>%）</w:t>
            </w:r>
          </w:p>
        </w:tc>
        <w:tc>
          <w:tcPr>
            <w:tcW w:w="127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8.1建筑位置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（20分）</w:t>
            </w: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位于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 w:bidi="ar"/>
              </w:rPr>
              <w:t>仅有一个通往地面安全出口的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地下、半地下场所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0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0"/>
                <w:szCs w:val="18"/>
              </w:rPr>
              <w:t>20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highlight w:val="yellow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位于临时建筑、居民楼、人员密集场所等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  <w:t>5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highlight w:val="yellow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  <w:t>1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highlight w:val="yellow"/>
                <w:lang w:bidi="ar"/>
              </w:rPr>
            </w:pP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8.2应急队伍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（5分）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周边1km范围内无专业消防队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0"/>
                <w:highlight w:val="yellow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周边1km范围内有专业消防队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0"/>
                <w:szCs w:val="18"/>
                <w:lang w:bidi="ar"/>
              </w:rPr>
              <w:t>0</w:t>
            </w: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18"/>
              </w:rPr>
            </w:pPr>
            <w:r>
              <w:rPr>
                <w:rFonts w:ascii="Times New Roman" w:hAnsi="Times New Roman" w:eastAsia="仿宋" w:cs="Times New Roman"/>
                <w:sz w:val="20"/>
                <w:szCs w:val="18"/>
              </w:rPr>
              <w:t>合计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18"/>
              </w:rPr>
            </w:pPr>
          </w:p>
        </w:tc>
        <w:tc>
          <w:tcPr>
            <w:tcW w:w="580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0"/>
                <w:szCs w:val="20"/>
                <w:highlight w:val="yellow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 w:line="360" w:lineRule="auto"/>
        <w:jc w:val="center"/>
        <w:outlineLvl w:val="1"/>
        <w:rPr>
          <w:rFonts w:hint="eastAsia" w:ascii="Times New Roman"/>
          <w:sz w:val="24"/>
        </w:rPr>
      </w:pPr>
      <w:r>
        <w:rPr>
          <w:rFonts w:hint="eastAsia" w:ascii="Times New Roman"/>
          <w:sz w:val="24"/>
        </w:rPr>
        <w:t>A.6</w:t>
      </w:r>
      <w:r>
        <w:rPr>
          <w:rFonts w:hint="eastAsia" w:ascii="Times New Roman"/>
          <w:sz w:val="24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bCs/>
          <w:sz w:val="24"/>
          <w:szCs w:val="21"/>
        </w:rPr>
        <w:t>住宅楼宇安全风险初步筛查标准</w:t>
      </w:r>
    </w:p>
    <w:tbl>
      <w:tblPr>
        <w:tblStyle w:val="33"/>
        <w:tblW w:w="84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360"/>
        <w:gridCol w:w="4530"/>
        <w:gridCol w:w="454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tblHeader/>
          <w:jc w:val="center"/>
        </w:trPr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客观指标</w:t>
            </w: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（分值比重）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客观风险因素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客观风险描述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分值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1.人员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1.1最大人数（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100000人≤人数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10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50000人≤人数＜100000人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0000人≤人数＜50000人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840" w:firstLineChars="400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人数＜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0000人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2单一建筑内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最大人数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000人≤人数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1000人≤人数＜5000人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840" w:firstLineChars="400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人数＜1000人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2.建筑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（50%）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2.1建筑年限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（10分）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30年≤投入使用年限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10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10年≤投入使用年限＜30年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投入使用年限＜10年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2.2建筑高度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00m≤建筑高度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30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100m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≤建筑高度＜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00m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50m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≤建筑高度＜100m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4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24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m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≤建筑高度＜50m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建筑高度＜24m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2.3底商类型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危化品（油漆、燃气）经营、汽修类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10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餐饮类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商超类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设备设施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3.1新能源充电站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地下室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充电站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地面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充电站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3.2有限空间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处≤有限空间数量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1≤有限空间数量＜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10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3.3电梯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≤数量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≤数量＜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50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≤数量＜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20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3.4停车场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路边停放，无集中场所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设置专用场所，专人管理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3.5消防供水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8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8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依托市政管网供水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自建消防供水系统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3.6游泳池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有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3.7防雷设施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有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3.8电气线路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未改造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近三年经过改造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4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 xml:space="preserve">物业管理 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4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 xml:space="preserve">1物业管理 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有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2.4封闭情况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敞开式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围合式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5.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社区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环境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5.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1进出口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未做到人车分流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人车分流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5.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消防车道（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未设置环形消防车道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设置了环形消防车道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6.外部环境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6.1敏感目标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周边50米范围内存在加油站、工业园区、水库、快速路、边坡等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周边50米范围内不存在以上场所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6.2应急队伍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周边1km范围内无专业消防队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周边1km范围内有专业消防队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合计</w:t>
            </w:r>
          </w:p>
        </w:tc>
        <w:tc>
          <w:tcPr>
            <w:tcW w:w="702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  <w:t>备注</w:t>
            </w:r>
          </w:p>
        </w:tc>
        <w:tc>
          <w:tcPr>
            <w:tcW w:w="702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hint="eastAsia"/>
                <w:sz w:val="20"/>
                <w:szCs w:val="22"/>
              </w:rPr>
              <w:t>小区附属的幼儿园、学校等</w:t>
            </w:r>
            <w:r>
              <w:rPr>
                <w:rFonts w:hint="eastAsia"/>
                <w:sz w:val="20"/>
                <w:szCs w:val="22"/>
                <w:lang w:eastAsia="zh-CN"/>
              </w:rPr>
              <w:t>参照相关标准</w:t>
            </w:r>
            <w:r>
              <w:rPr>
                <w:rFonts w:hint="eastAsia"/>
                <w:sz w:val="20"/>
                <w:szCs w:val="22"/>
              </w:rPr>
              <w:t>单独</w:t>
            </w:r>
            <w:r>
              <w:rPr>
                <w:rFonts w:hint="eastAsia"/>
                <w:sz w:val="20"/>
                <w:szCs w:val="22"/>
                <w:lang w:eastAsia="zh-CN"/>
              </w:rPr>
              <w:t>开展风险</w:t>
            </w:r>
            <w:r>
              <w:rPr>
                <w:rFonts w:hint="eastAsia"/>
                <w:sz w:val="20"/>
                <w:szCs w:val="22"/>
              </w:rPr>
              <w:t>评估。</w:t>
            </w:r>
          </w:p>
        </w:tc>
      </w:tr>
    </w:tbl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 w:line="360" w:lineRule="auto"/>
        <w:jc w:val="center"/>
        <w:outlineLvl w:val="1"/>
        <w:rPr>
          <w:rFonts w:ascii="Times New Roman" w:hAnsi="Times New Roman" w:eastAsia="黑体" w:cs="Times New Roman"/>
          <w:bCs/>
          <w:sz w:val="24"/>
          <w:szCs w:val="21"/>
        </w:rPr>
      </w:pPr>
      <w:r>
        <w:rPr>
          <w:rFonts w:ascii="Times New Roman" w:hAnsi="Times New Roman" w:eastAsia="黑体" w:cs="Times New Roman"/>
          <w:bCs/>
          <w:sz w:val="24"/>
          <w:szCs w:val="21"/>
        </w:rPr>
        <w:t>A.</w:t>
      </w:r>
      <w:r>
        <w:rPr>
          <w:rFonts w:hint="eastAsia" w:ascii="Times New Roman" w:hAnsi="Times New Roman" w:eastAsia="黑体" w:cs="Times New Roman"/>
          <w:bCs/>
          <w:sz w:val="24"/>
          <w:szCs w:val="21"/>
        </w:rPr>
        <w:t>69纯办公</w:t>
      </w:r>
      <w:r>
        <w:rPr>
          <w:rFonts w:hint="eastAsia" w:ascii="Times New Roman" w:hAnsi="Times New Roman" w:eastAsia="黑体" w:cs="Times New Roman"/>
          <w:bCs/>
          <w:sz w:val="24"/>
          <w:szCs w:val="21"/>
          <w:lang w:val="en-US" w:eastAsia="zh-CN"/>
        </w:rPr>
        <w:t>/</w:t>
      </w:r>
      <w:r>
        <w:rPr>
          <w:rFonts w:hint="eastAsia" w:ascii="Times New Roman" w:hAnsi="Times New Roman" w:eastAsia="黑体" w:cs="Times New Roman"/>
          <w:bCs/>
          <w:sz w:val="24"/>
          <w:szCs w:val="21"/>
        </w:rPr>
        <w:t>商贸</w:t>
      </w:r>
      <w:r>
        <w:rPr>
          <w:rFonts w:ascii="Times New Roman" w:hAnsi="Times New Roman" w:eastAsia="黑体" w:cs="Times New Roman"/>
          <w:bCs/>
          <w:sz w:val="24"/>
          <w:szCs w:val="21"/>
        </w:rPr>
        <w:t>安全风险初步筛查标准</w:t>
      </w:r>
    </w:p>
    <w:tbl>
      <w:tblPr>
        <w:tblStyle w:val="33"/>
        <w:tblW w:w="84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360"/>
        <w:gridCol w:w="4530"/>
        <w:gridCol w:w="454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tblHeader/>
          <w:jc w:val="center"/>
        </w:trPr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客观指标</w:t>
            </w: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（分值比重）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客观风险因素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客观风险描述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分值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1.人员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1.1最大人数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10000人≤人数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10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5000人≤人数＜10000人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000人≤人数＜5000人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840" w:firstLineChars="400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人数＜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000人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2单一建筑内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最大人数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000人≤人数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1000人≤人数＜5000人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840" w:firstLineChars="400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人数＜1000人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2.建筑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2.1建筑年限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（10分）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投入使用年限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大于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30年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且未改造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10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30年≤投入使用年限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10年≤投入使用年限＜30年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投入使用年限＜10年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2.2所在楼层高度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00m≤高度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10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250m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≤高度＜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00m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7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100m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≤高度＜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0m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50m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≤高度＜100m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24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m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≤高度＜50m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高度＜24m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首层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3.2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建筑信息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所在建筑有新能源充电设施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所在建筑有餐饮、娱乐场所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所在建筑有其它商务场所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企业情况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3.1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企业类型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存在物理、化学、生物实验室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15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存在商业网点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纯办公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3.2办公情况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（5分）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办公室带住宿（除值班人员）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正常办公时间为深夜（00:00-06:00）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其他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3.3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500kg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≤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仓库存放危险化学品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10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仓库存放危险化学品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＜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500kg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4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仓库内存放易燃物且面积大于250m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仓库内存放易燃物且面积小于250m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仓库或仓库不在本建筑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4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 xml:space="preserve">物业管理 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1中控室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设置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消防中控室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消防供水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10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依托市政管网供水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自建消防供水系统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电气线路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未改造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近三年经过改造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4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 xml:space="preserve">物业管理 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有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封闭情况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敞开式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围合式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.外部环境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.1敏感目标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周边50米范围内存在加油站、工业园区、水库、快速路、边坡等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周边50米范围内不存在以上场所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.2应急队伍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周边1km范围内无专业消防队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周边1km范围内有专业消防队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合计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566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</w:tbl>
    <w:p/>
    <w:p/>
    <w:p>
      <w:pPr>
        <w:pStyle w:val="2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 w:line="360" w:lineRule="auto"/>
        <w:jc w:val="center"/>
        <w:outlineLvl w:val="1"/>
        <w:rPr>
          <w:rFonts w:ascii="Times New Roman" w:hAnsi="Times New Roman" w:eastAsia="黑体" w:cs="Times New Roman"/>
          <w:bCs/>
          <w:sz w:val="24"/>
          <w:szCs w:val="21"/>
        </w:rPr>
      </w:pPr>
      <w:r>
        <w:rPr>
          <w:rFonts w:ascii="Times New Roman" w:hAnsi="Times New Roman" w:eastAsia="黑体" w:cs="Times New Roman"/>
          <w:bCs/>
          <w:sz w:val="24"/>
          <w:szCs w:val="21"/>
        </w:rPr>
        <w:t>A</w:t>
      </w:r>
      <w:r>
        <w:rPr>
          <w:rFonts w:hint="eastAsia" w:ascii="Times New Roman" w:hAnsi="Times New Roman" w:eastAsia="黑体" w:cs="Times New Roman"/>
          <w:bCs/>
          <w:sz w:val="24"/>
          <w:szCs w:val="21"/>
          <w:lang w:val="en-US" w:eastAsia="zh-CN"/>
        </w:rPr>
        <w:t>70仓储企业</w:t>
      </w:r>
      <w:r>
        <w:rPr>
          <w:rFonts w:ascii="Times New Roman" w:hAnsi="Times New Roman" w:eastAsia="黑体" w:cs="Times New Roman"/>
          <w:bCs/>
          <w:sz w:val="24"/>
          <w:szCs w:val="21"/>
        </w:rPr>
        <w:t>安全风险初步筛查标准</w:t>
      </w:r>
    </w:p>
    <w:tbl>
      <w:tblPr>
        <w:tblStyle w:val="33"/>
        <w:tblW w:w="84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360"/>
        <w:gridCol w:w="4530"/>
        <w:gridCol w:w="454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tblHeader/>
          <w:jc w:val="center"/>
        </w:trPr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客观指标</w:t>
            </w: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（分值比重）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客观风险因素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客观风险描述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分值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18"/>
                <w:lang w:bidi="ar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1.人员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1.1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仓库单班总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人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100人≤人数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0人≤人数＜100人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4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0人≤人数＜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人≤人数＜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人数＜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无人员值守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2单一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发货分区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0人≤人数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0人≤人数＜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人≤人数＜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840" w:firstLineChars="400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人数＜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人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无人员值守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2.建筑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2.1建筑年限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（10分）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投入使用年限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大于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30年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且未改造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10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30年≤投入使用年限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10年≤投入使用年限＜30年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投入使用年限＜10年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2.2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仓库楼层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仓库楼层位于五楼以上或地下二层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10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仓库楼层位于四楼以上或地下一层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6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仓库楼层位于三楼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仓库楼层位于二楼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仓库楼层位于一楼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4仓库面积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5000m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vertAlign w:val="superscript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≤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仓库面积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2000m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vertAlign w:val="superscript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≤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仓库面积＜5000m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4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1000m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vertAlign w:val="superscript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≤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仓库面积＜2000m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500m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vertAlign w:val="superscript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≤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仓库面积＜1000m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仓库面积＜500m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4建筑信息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所在建筑有新能源充电设施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所在建筑有餐饮、娱乐场所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所在建筑有其它商务场所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企业情况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3.1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仓库类型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仓库储存危险化学品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25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仓库储存易燃物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仓库储存不燃物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3.2办公情况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（5分）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仓库内设置有办公场所且无单独出口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仓库内设置有办公场所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仓库内未设置办公场所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3.3装卸方式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</w:rPr>
              <w:t>叉车及装卸货车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/>
              </w:rPr>
              <w:t>装卸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管道装卸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无装卸作业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4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 xml:space="preserve">物业管理 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1中控室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设置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消防中控室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消防供水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无喷淋系统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10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依托市政管网供水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自建消防供水系统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电气线路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未改造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近三年经过改造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封闭情况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敞开式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2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围合式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.外部环境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%）</w:t>
            </w: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.1敏感目标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周边50米范围内存在加油站、工业园区、水库、快速路、边坡等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周边50米范围内不存在以上场所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.2应急队伍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  <w:szCs w:val="18"/>
                <w:lang w:bidi="ar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分）</w:t>
            </w: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周边1km范围内无专业消防队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5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13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</w:p>
        </w:tc>
        <w:tc>
          <w:tcPr>
            <w:tcW w:w="453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周边1km范围内有专业消防队</w:t>
            </w:r>
          </w:p>
        </w:tc>
        <w:tc>
          <w:tcPr>
            <w:tcW w:w="45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0</w:t>
            </w: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Cs w:val="18"/>
                <w:lang w:bidi="ar"/>
              </w:rPr>
              <w:t>合计</w:t>
            </w:r>
          </w:p>
        </w:tc>
        <w:tc>
          <w:tcPr>
            <w:tcW w:w="702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18"/>
              </w:rPr>
            </w:pP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numId w:val="0"/>
        </w:numPr>
        <w:ind w:leftChars="0"/>
        <w:jc w:val="center"/>
        <w:rPr>
          <w:rFonts w:hint="eastAsia" w:ascii="Times New Roman" w:hAnsi="Times New Roman" w:eastAsia="黑体" w:cs="Times New Roman"/>
          <w:bCs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24"/>
          <w:szCs w:val="21"/>
          <w:lang w:val="en-US" w:eastAsia="zh-CN" w:bidi="ar-SA"/>
        </w:rPr>
        <w:t>B.64公共交通企业安全风险等级评定指引（示例）</w:t>
      </w:r>
    </w:p>
    <w:tbl>
      <w:tblPr>
        <w:tblStyle w:val="33"/>
        <w:tblW w:w="140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625"/>
        <w:gridCol w:w="637"/>
        <w:gridCol w:w="735"/>
        <w:gridCol w:w="1260"/>
        <w:gridCol w:w="709"/>
        <w:gridCol w:w="708"/>
        <w:gridCol w:w="709"/>
        <w:gridCol w:w="709"/>
        <w:gridCol w:w="2577"/>
        <w:gridCol w:w="2375"/>
        <w:gridCol w:w="1841"/>
        <w:gridCol w:w="7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评估单元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风险点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危险源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风险影响因素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事故类型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人员伤亡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财产损失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极端风险等级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技术与工程措施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人员素养与系统管理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措施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个人防护与应急管理措施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现实风险等级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车辆运行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车辆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制动、转向、照明、信号装置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制动、转向装置故障或失效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交通事故、其他伤害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1.车辆制动系统、照明、信号系统应符合《汽车制动系统结构、性能和试验方法》（GB12676）和《营运车辆综合性能要求和检验方法》（GB18565）的相关要求；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2.营运客车必须经车辆管理部门审验合格；保持良好的技术状况，制动、转向系统以及灯光、喇叭、刮水器齐全有效。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1.坚持对设备进行日常维护和保养；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2.驾驶员每日坚持“三检”。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3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车辆运行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车辆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轮胎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轮胎磨损严重、有裂纹或扎入异物等情况可能造成追尾、爆胎等事故。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交通事故、其他伤害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1.轮胎的磨损：轿车和挂车胎冠上花纹深度不得小于1.6mm；其他车辆转向轮的胎冠花纹深度不得小于3.2mm，其余轮胎胎冠花纹深度不得小于1.6mm；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2.轮胎胎面不得有因局部磨损而暴露出轮胎帘布层。轮胎的胎面和胎壁上不得有长度超过25mm或深度足以暴露出轮胎帘布层的破裂和割伤；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3.同一轴上轮胎规格和花纹应相同，轮胎规格应符合车辆出厂时的规定，同一轴上轮胎外径的磨损程度应大体一致；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4.汽车转向轮不得装用翻新的轮胎；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5.汽车装用的轮胎应与其最大设计车速相适应。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1.坚持对车辆、设备、设施进行日常维护和保养；2.驾驶员每日坚持“三检”制度；驾驶员要认真检查轮胎，及时更换；轮胎保持正常气压，不过量充气；</w:t>
            </w:r>
          </w:p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3.高温天气行车，适当停车休息、降温。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车辆运行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车辆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安全装置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安全带、保险杠、挡风玻璃、灭火器、安全锤、应急门开关等装置设施损坏或失效时，一旦发生事故，可能加重事故后果。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其他伤害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1.驾驶员应严格执行“三检”制度，确保安全设施完好；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2.严格执行“六不出站”的安全管理规定。</w:t>
            </w:r>
          </w:p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3.定期检查车内安全带、安全锤、灭火器是否齐全有效，确保安全出口通道畅通，应急门、应急顶窗开启装置有效，开启顺畅。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车辆运行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道路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涉水路面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未查清水的深浅即涉水行驶，易使车辆熄火，导致人员受困；车辆打滑或陷入水中；水中有尖锐物刺破轮胎，导致人员困于水中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淹溺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1.行经漫水路或者漫水桥时，应当停车察明水情，确认安全后，低速通过；水情不明的情况下禁止通过；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2.对行车路线进行风险分析，制定相应的安全操作规程和应急处置措施；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3.加强驾驶人员的安全培训教育和考核。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制定应急处置方案并进行演练。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...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pStyle w:val="7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ind w:leftChars="0"/>
        <w:jc w:val="center"/>
        <w:rPr>
          <w:rFonts w:hint="eastAsia" w:ascii="Times New Roman" w:hAnsi="Times New Roman" w:eastAsia="黑体" w:cs="Times New Roman"/>
          <w:bCs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24"/>
          <w:szCs w:val="21"/>
          <w:lang w:val="en-US" w:eastAsia="zh-CN" w:bidi="ar-SA"/>
        </w:rPr>
        <w:t>B.65实验室、检测机构安全风险等级评定指引（示例）</w:t>
      </w:r>
    </w:p>
    <w:tbl>
      <w:tblPr>
        <w:tblStyle w:val="33"/>
        <w:tblW w:w="140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625"/>
        <w:gridCol w:w="637"/>
        <w:gridCol w:w="735"/>
        <w:gridCol w:w="1260"/>
        <w:gridCol w:w="709"/>
        <w:gridCol w:w="708"/>
        <w:gridCol w:w="709"/>
        <w:gridCol w:w="709"/>
        <w:gridCol w:w="2577"/>
        <w:gridCol w:w="2375"/>
        <w:gridCol w:w="1841"/>
        <w:gridCol w:w="7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评估单元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风险点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危险源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风险影响因素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事故类型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人员伤亡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财产损失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极端风险等级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技术与工程措施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人员素养与系统管理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措施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个人防护与应急管理措施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现实风险等级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气瓶储存间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气瓶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氮气、氧气、乙炔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1.气瓶在使用过程中，操作不当或设施缺陷等，可能导致泄漏爆炸，或造成人员冻伤。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2.氧气泄漏遇可燃物和火源可能导致猛烈燃烧。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火灾爆炸、其他伤害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1.气瓶配备螺纹连接的快装式瓶帽或保护罩，配戴好防震圈；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2.设置导除静电的接地装置；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3.设置防倾倒装置；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4.定期检测瓶体。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1.制定完善的安全管理制度和安全操作规程；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2.对操作人员和管理人员进行安全教育培训。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1.配置必要的消防器材；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2.配备低温防护劳保用品；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3.制定应急预案并定期组织演练。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污水池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有限空间作业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有害气体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污水池长期封闭，内部缺氧，同时会产生硫化氢的有毒气体，易发生缺氧窒息、硫化氢中毒等事故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中毒和窒息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有限空间设置盖板等防护措施，并设置相关警示标志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自主施工：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1、工厂在选择施工方案时首选不进入的作业方式，采用更先进的方法取代人工进入方式进行作业（如合适的专业工程车）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2、配备正压式机械通风机、便携式气体浓度检测仪、安全梯、安全绳、正压式空气呼吸器（或连续送风式长管呼吸器）、全身式安全带等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自主施工：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1、工厂建立了严格的有限空间管理和审批制度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2、所有人员均经过有限空间的培训。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委外施工：应建立有限空间委外施工相关制度，明确一下内容：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1、确认作业单位具备有限空间作业相关的资质或相应的能力。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2、应现场确认作业单位有限空间作业审批、作业方案、人员培训、应急救援物资符合要求。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3、应当进行现场管理，及时制止不安全行为，必要时要求作业单位停止作业和撤出人员。</w:t>
            </w:r>
          </w:p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自主施工：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1.工厂建立有有限空间应急预案并定期演练。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检测区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用电设备，带电线路插座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用电设备，插座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top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电路、用电设备、插座由于老化、不合规导致绝缘层破损等情况，易发生触电事故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触电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1、使用符合要求的电源插座等用电设备；</w:t>
            </w:r>
          </w:p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2、电气设备设施应规范设置漏电保护。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1、应建立安全责任制、检维修等相关制度；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2、定期维护检测电路、电气设备；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3、对员工进行用电安全等相关培训；</w:t>
            </w:r>
          </w:p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4、电工相关作业人员需取得相关从业资质。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1、制定应急预案并演练。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仓库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仓库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原料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储存的原料等遇到火花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火灾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1.仓库内电气线路套管保护，使用低温照明灯具，开关、电箱不得安装在仓库内。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2.灭火器、消防栓完好可用，仓库建筑面积大于1000㎡时须安装自动灭火系统。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3.仓库采用防火墙与其他场所分隔。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4.仓库内电气线路套管保护。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1.仓库内不得从事生产、加工活动。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2.仓库内物品摆放整齐符合“五距”要求，安全出口、疏散通道保持畅通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3.定期检查仓库电气线路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1.仓库配备灭火器材。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2.定期开展应急演练。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...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ind w:leftChars="0"/>
        <w:jc w:val="center"/>
        <w:rPr>
          <w:rFonts w:ascii="仿宋_GB2312" w:eastAsia="仿宋_GB2312"/>
        </w:rPr>
      </w:pPr>
      <w:r>
        <w:rPr>
          <w:rFonts w:hint="eastAsia" w:ascii="Times New Roman" w:hAnsi="Times New Roman" w:eastAsia="黑体" w:cs="Times New Roman"/>
          <w:bCs/>
          <w:kern w:val="2"/>
          <w:sz w:val="24"/>
          <w:szCs w:val="21"/>
          <w:lang w:val="en-US" w:eastAsia="zh-CN" w:bidi="ar-SA"/>
        </w:rPr>
        <w:t>B.66诊所安全风险等级评定指引（示例）</w:t>
      </w:r>
    </w:p>
    <w:tbl>
      <w:tblPr>
        <w:tblStyle w:val="33"/>
        <w:tblW w:w="140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625"/>
        <w:gridCol w:w="637"/>
        <w:gridCol w:w="735"/>
        <w:gridCol w:w="1260"/>
        <w:gridCol w:w="709"/>
        <w:gridCol w:w="708"/>
        <w:gridCol w:w="709"/>
        <w:gridCol w:w="709"/>
        <w:gridCol w:w="2577"/>
        <w:gridCol w:w="2375"/>
        <w:gridCol w:w="1841"/>
        <w:gridCol w:w="7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评估单元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风险点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危险源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风险影响因素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事故类型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人员伤亡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财产损失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极端风险等级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技术与工程措施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人员素养与系统管理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措施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个人防护与应急管理措施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现实风险等级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氧气瓶储存间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氧气瓶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液氧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1.氧气瓶在使用过程中，操作不当或设施缺陷等，可能导致泄漏爆炸，或造成人员冻伤。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2.氧气泄漏遇可燃物和火源可能导致猛烈燃烧。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火灾爆炸、其他伤害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1.氧气瓶配备螺纹连接的快装式瓶帽或保护罩，配戴好防震圈；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2.设置导除静电的接地装置；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3.设置防倾倒装置；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4.定期检测瓶体。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1.制定完善的安全管理制度和安全操作规程；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2.对操作人员和管理人员进行安全教育培训。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1.配置必要的消防器材；</w:t>
            </w:r>
          </w:p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2.配备低温防护劳保用品；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3.制定应急预案并定期组织演练。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污水池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有限空间作业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有害气体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污水池长期封闭，内部缺氧，同时会产生硫化氢的有毒气体，易发生缺氧窒息、硫化氢中毒等事故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中毒和窒息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有限空间设置盖板等防护措施，并设置相关警示标志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自主施工：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1、工厂在选择施工方案时首选不进入的作业方式，采用更先进的方法取代人工进入方式进行作业（如合适的专业工程车）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2、配备正压式机械通风机、便携式气体浓度检测仪、安全梯、安全绳、正压式空气呼吸器（或连续送风式长管呼吸器）、全身式安全带等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自主施工：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1、工厂建立了严格的有限空间管理和审批制度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2、所有人员均经过有限空间的培训。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委外施工：应建立有限空间委外施工相关制度，明确一下内容：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1、确认作业单位具备有限空间作业相关的资质或相应的能力。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2、应现场确认作业单位有限空间作业审批、作业方案、人员培训、应急救援物资符合要求。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3、应当进行现场管理，及时制止不安全行为，必要时要求作业单位停止作业和撤出人员。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自主施工：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1.工厂建立有有限空间应急预案并定期演练。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诊疗区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用电设备，带电线路插座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用电设备，插座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电路、用电设备、插座由于老化、不合规导致绝缘层破损等情况，易发生触电事故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触电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1、使用符</w:t>
            </w:r>
            <w:bookmarkStart w:id="4" w:name="_GoBack"/>
            <w:bookmarkEnd w:id="4"/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合要求的电源插座等用电设备；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2、电气设备设施应规范设置漏电保护。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1、应建立安全责任制、检维修等相关制度；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2、定期维护检测电路、电气设备；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3、对员工进行用电安全等相关培训；</w:t>
            </w:r>
          </w:p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4、电工相关作业人员需取得相关从业资质。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1、制定应急预案并演练。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...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ind w:leftChars="0"/>
        <w:jc w:val="center"/>
        <w:rPr>
          <w:rFonts w:ascii="仿宋_GB2312" w:eastAsia="仿宋_GB2312"/>
        </w:rPr>
      </w:pPr>
      <w:r>
        <w:rPr>
          <w:rFonts w:hint="eastAsia" w:ascii="Times New Roman" w:hAnsi="Times New Roman" w:eastAsia="黑体" w:cs="Times New Roman"/>
          <w:bCs/>
          <w:kern w:val="2"/>
          <w:sz w:val="24"/>
          <w:szCs w:val="21"/>
          <w:lang w:val="en-US" w:eastAsia="zh-CN" w:bidi="ar-SA"/>
        </w:rPr>
        <w:t>B.67机动车维修安全风险等级评定指引（示例）</w:t>
      </w:r>
    </w:p>
    <w:tbl>
      <w:tblPr>
        <w:tblStyle w:val="33"/>
        <w:tblW w:w="140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625"/>
        <w:gridCol w:w="637"/>
        <w:gridCol w:w="735"/>
        <w:gridCol w:w="1260"/>
        <w:gridCol w:w="709"/>
        <w:gridCol w:w="708"/>
        <w:gridCol w:w="709"/>
        <w:gridCol w:w="709"/>
        <w:gridCol w:w="2577"/>
        <w:gridCol w:w="2375"/>
        <w:gridCol w:w="1841"/>
        <w:gridCol w:w="7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评估单元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风险点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危险源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风险影响因素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事故类型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人员伤亡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财产损失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极端风险等级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技术与工程措施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人员素养与系统管理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措施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个人防护与应急管理措施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现实风险等级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气瓶储存间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气瓶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气瓶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1.气瓶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在使用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过程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中，操作不当或设施缺陷等，可能导致泄漏爆炸，或造成人员冻伤。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火灾爆炸、其他伤害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255"/>
                <w:numId w:val="0"/>
              </w:numPr>
              <w:snapToGrid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1.气瓶配备螺纹连接的快装式瓶帽或保护罩，配戴好防震圈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；</w:t>
            </w:r>
          </w:p>
          <w:p>
            <w:pPr>
              <w:pStyle w:val="6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2.设置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导除静电的接地装置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；</w:t>
            </w:r>
          </w:p>
          <w:p>
            <w:pPr>
              <w:pStyle w:val="6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3.设置防倾倒装置；</w:t>
            </w:r>
          </w:p>
          <w:p>
            <w:pPr>
              <w:pStyle w:val="6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4.定期检测瓶体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。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1.制定完善的安全管理制度和安全操作规程；</w:t>
            </w:r>
          </w:p>
          <w:p>
            <w:pPr>
              <w:pStyle w:val="6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2.对操作人员和管理人员进行安全教育培训。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6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1.配置必要的消防器材；</w:t>
            </w:r>
          </w:p>
          <w:p>
            <w:pPr>
              <w:pStyle w:val="6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2.配备低温防护劳保用品；</w:t>
            </w:r>
          </w:p>
          <w:p>
            <w:pPr>
              <w:pStyle w:val="6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3.制定应急预案并定期组织演练。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办公区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用电设备，带电线路插座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用电设备，插座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电路、用电设备、插座由于老化、不合规导致绝缘层破损等情况，易发生触电事故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触电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1、使用符合要求的电源插座等用电设备；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2、电气设备设施应规范设置漏电保护。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1、应建立安全责任制、检维修等相关制度；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2、定期维护检测电路、电气设备；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3、对员工进行用电安全等相关培训；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4、电工相关作业人员需取得相关从业资质。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1、制定应急预案并演练。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仓库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普通物料仓库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原料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储存的原料等遇到火花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火灾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1.仓库内电气线路套管保护，使用低温照明灯具，开关、电箱不得安装在仓库内。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2.灭火器、消防栓完好可用，仓库建筑面积大于1000㎡时须安装自动灭火系统。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3.仓库采用防火墙与其他场所分隔。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4.仓库内电气线路套管保护。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1.仓库内不得从事生产、加工活动。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2.仓库内物品摆放整齐符合“五距”要求，安全出口、疏散通道保持畅通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3.定期检查仓库电气线路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1.仓库配备灭火器材。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2.定期开展应急演练。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配电房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电气设备、配电柜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电气线路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线路老化，管线敷设不符合规范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触电、火灾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1安装满足线路通、断能力的开关、短路保护、过负荷保护和接地故障保护等装置。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2电气线路应具有足够绝缘强度、机械强度和导电能力，其安装应符合产品标准的规定。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3.所有配电箱必须安装跨接保护。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4.所有配电箱必须装屏护板。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1.每年聘请具备资质单位开展一次电气检测。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2.每月定期检查，发现破损的电气线路及时更换。3.配电箱前铺设绝缘地垫。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4.加强电气设备日常维保。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5.制定安全操作规程，加强安全培训。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1.配置灭火器材。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2.每年定期开展安全教育培训和应急演练，员工应会使用灭火器材。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仓库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危化品仓库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易燃易爆物品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易燃易爆品遇火源引发火灾事故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火灾、爆炸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1.易燃易爆品分类存储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2.按照要求进行防火分隔设置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1.加强防火巡查和消防检查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2.加强消防安全宣贯培训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1.配置灭火器材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2.每年定期开展安全教育培训和应急演练，商铺员工应会使用灭火器材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...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ind w:leftChars="0"/>
        <w:jc w:val="center"/>
        <w:rPr>
          <w:rFonts w:hint="eastAsia" w:ascii="Times New Roman" w:hAnsi="Times New Roman" w:eastAsia="黑体" w:cs="Times New Roman"/>
          <w:bCs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24"/>
          <w:szCs w:val="21"/>
          <w:lang w:val="en-US" w:eastAsia="zh-CN" w:bidi="ar-SA"/>
        </w:rPr>
        <w:t>B.68 住宅楼宇安全风险等级评定指引（示例）</w:t>
      </w:r>
    </w:p>
    <w:tbl>
      <w:tblPr>
        <w:tblStyle w:val="33"/>
        <w:tblW w:w="140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625"/>
        <w:gridCol w:w="637"/>
        <w:gridCol w:w="735"/>
        <w:gridCol w:w="1260"/>
        <w:gridCol w:w="709"/>
        <w:gridCol w:w="708"/>
        <w:gridCol w:w="709"/>
        <w:gridCol w:w="709"/>
        <w:gridCol w:w="2577"/>
        <w:gridCol w:w="2375"/>
        <w:gridCol w:w="1841"/>
        <w:gridCol w:w="7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评估单元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风险点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危险源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风险影响因素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事故类型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人员伤亡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财产损失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极端风险等级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技术与工程措施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人员素养与系统管理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措施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个人防护与应急管理措施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现实风险等级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变配电室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配电柜、电缆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配电柜、电缆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配电柜、电缆短路、过负荷等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火灾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定期对配电柜端子、电缆等部位进行温度监测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1.定期开展电气安全监测，对可能引起短路、过负荷等问题及时处理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2.加强日常维保和安全检查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3.制定配电房维护保养制度或规范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1.设置自动灭火系统、配备灭火器材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2.制定配电室火灾事故现场应急处置方案或处置卡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居民住户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用电设备，带电线路插座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用电设备，插座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电路、用电设备、插座由于老化、不合规导致绝缘层破损等情况，易发生触电事故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触电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1、使用符合要求的电源插座等用电设备；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2、电气设备设施应规范设置漏电保护。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1、应建立安全责任制、检维修等相关制度；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2、定期维护检测电路、电气设备；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3、对员工进行用电安全等相关培训；</w:t>
            </w:r>
          </w:p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4、电工相关作业人员需取得相关从业资质。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1、制定应急预案并演练。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...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pStyle w:val="3"/>
        <w:rPr>
          <w:rFonts w:hint="eastAsia" w:ascii="仿宋_GB2312" w:eastAsia="仿宋_GB231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ind w:leftChars="0"/>
        <w:jc w:val="center"/>
        <w:rPr>
          <w:rFonts w:ascii="仿宋_GB2312" w:eastAsia="仿宋_GB2312"/>
        </w:rPr>
      </w:pPr>
      <w:r>
        <w:rPr>
          <w:rFonts w:hint="eastAsia" w:ascii="Times New Roman" w:hAnsi="Times New Roman" w:eastAsia="黑体" w:cs="Times New Roman"/>
          <w:bCs/>
          <w:kern w:val="2"/>
          <w:sz w:val="24"/>
          <w:szCs w:val="21"/>
          <w:lang w:val="en-US" w:eastAsia="zh-CN" w:bidi="ar-SA"/>
        </w:rPr>
        <w:t>B.69纯办公/商贸安全风险等级评定指引（示例）</w:t>
      </w:r>
    </w:p>
    <w:tbl>
      <w:tblPr>
        <w:tblStyle w:val="33"/>
        <w:tblW w:w="140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625"/>
        <w:gridCol w:w="637"/>
        <w:gridCol w:w="735"/>
        <w:gridCol w:w="1260"/>
        <w:gridCol w:w="709"/>
        <w:gridCol w:w="708"/>
        <w:gridCol w:w="709"/>
        <w:gridCol w:w="709"/>
        <w:gridCol w:w="2577"/>
        <w:gridCol w:w="2375"/>
        <w:gridCol w:w="1841"/>
        <w:gridCol w:w="7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评估单元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风险点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危险源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风险影响因素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事故类型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人员伤亡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财产损失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极端风险等级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技术与工程措施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人员素养与系统管理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措施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个人防护与应急管理措施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现实风险等级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办公区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用电设备，带电线路插座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用电设备，插座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电路、用电设备、插座由于老化、不合规导致绝缘层破损等情况，易发生触电事故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触电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1、使用符合要求的电源插座等用电设备；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2、电气设备设施应规范设置漏电保护。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1、应建立安全责任制、检维修等相关制度；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2、定期维护检测电路、电气设备；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3、对员工进行用电安全等相关培训；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4、电工相关作业人员需取得相关从业资质。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1、制定应急预案并演练。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设备房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中央空调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制冷剂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制冷剂泄漏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火灾、爆炸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1.选用符合安全、环保要求的制冷剂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2.安装制冷剂泄露监控系统，并与排风系统联动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1.定期对制冷循环系统进行维保检测</w:t>
            </w:r>
          </w:p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2.加强日常巡检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1.配备防护服、防毒面具、防护手套、耳罩、冻伤膏等应急物质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2.制定制冷剂泄露事故现场处置方案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污水池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有限空间作业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有害气体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污水池长期封闭，内部缺氧，同时会产生硫化氢的有毒气体，易发生缺氧窒息、硫化氢中毒等事故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中毒和窒息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有限空间设置盖板等防护措施，并设置相关警示标志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自主施工：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1、在选择施工方案时首选不进入的作业方式，采用更先进的方法取代人工进入方式进行作业（如合适的专业工程车）</w:t>
            </w:r>
          </w:p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2、配备正压式机械通风机、便携式气体浓度检测仪、安全梯、安全绳、正压式空气呼吸器（或连续送风式长管呼吸器）、全身式安全带等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自主施工：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1、建立了严格的有限空间管理和审批制度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2、所有人员均经过有限空间的培训。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委外施工：应建立有限空间委外施工相关制度，明确一下内容：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1、确认作业单位具备有限空间作业相关的资质或相应的能力。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2、应现场确认作业单位有限空间作业审批、作业方案、人员培训、应急救援物资符合要求。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3、应当进行现场管理，及时制止不安全行为，必要时要求作业单位停止作业和撤出人员。</w:t>
            </w:r>
          </w:p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自主施工：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1.建立有有限空间应急预案并定期演练。</w:t>
            </w:r>
          </w:p>
          <w:p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...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Chars="0"/>
        <w:jc w:val="center"/>
        <w:rPr>
          <w:rFonts w:hint="eastAsia" w:ascii="Times New Roman" w:hAnsi="Times New Roman" w:eastAsia="黑体" w:cs="Times New Roman"/>
          <w:bCs/>
          <w:kern w:val="2"/>
          <w:sz w:val="24"/>
          <w:szCs w:val="21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ind w:leftChars="0"/>
        <w:jc w:val="center"/>
        <w:rPr>
          <w:rFonts w:hint="eastAsia" w:ascii="Times New Roman" w:hAnsi="Times New Roman" w:eastAsia="黑体" w:cs="Times New Roman"/>
          <w:bCs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24"/>
          <w:szCs w:val="21"/>
          <w:lang w:val="en-US" w:eastAsia="zh-CN" w:bidi="ar-SA"/>
        </w:rPr>
        <w:t>B.70仓储企业安全风险等级评定指引（示例）</w:t>
      </w:r>
    </w:p>
    <w:tbl>
      <w:tblPr>
        <w:tblStyle w:val="33"/>
        <w:tblW w:w="140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625"/>
        <w:gridCol w:w="637"/>
        <w:gridCol w:w="735"/>
        <w:gridCol w:w="1260"/>
        <w:gridCol w:w="709"/>
        <w:gridCol w:w="708"/>
        <w:gridCol w:w="709"/>
        <w:gridCol w:w="709"/>
        <w:gridCol w:w="2577"/>
        <w:gridCol w:w="2375"/>
        <w:gridCol w:w="1841"/>
        <w:gridCol w:w="7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  <w:jc w:val="center"/>
        </w:trPr>
        <w:tc>
          <w:tcPr>
            <w:tcW w:w="4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25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评估单元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风险点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危险源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风险影响因素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事故类型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人员伤亡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财产损失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EFF9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极端风险等级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技术与工程措施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人员素养与系统管理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措施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个人防护与应急管理措施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FFEEDD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现实风险等级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危化品仓库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/>
              <w:keepLines/>
              <w:jc w:val="center"/>
              <w:outlineLvl w:val="4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危化品仓库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/>
              <w:keepLines/>
              <w:jc w:val="center"/>
              <w:outlineLvl w:val="4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危险化学品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/>
              <w:keepLines/>
              <w:jc w:val="left"/>
              <w:outlineLvl w:val="4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1.储存或分装、调配时可燃气体挥发。</w:t>
            </w:r>
          </w:p>
          <w:p>
            <w:pPr>
              <w:keepNext/>
              <w:keepLines/>
              <w:jc w:val="left"/>
              <w:outlineLvl w:val="4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2.挥发的可燃蒸汽遇到火花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/>
              <w:keepLines/>
              <w:jc w:val="center"/>
              <w:outlineLvl w:val="4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火灾、爆炸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/>
              <w:keepLines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/>
              <w:keepLines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jc w:val="left"/>
              <w:outlineLvl w:val="4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1.贮存易燃易爆危险化学品场所线路、电气设备应全面防爆，通风设施正常运行。</w:t>
            </w:r>
          </w:p>
          <w:p>
            <w:pPr>
              <w:keepNext/>
              <w:keepLines/>
              <w:jc w:val="left"/>
              <w:outlineLvl w:val="4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2.设置有毒气体检测报警装置。</w:t>
            </w:r>
          </w:p>
          <w:p>
            <w:pPr>
              <w:keepNext/>
              <w:keepLines/>
              <w:jc w:val="left"/>
              <w:outlineLvl w:val="4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3.采取防静电措施。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jc w:val="left"/>
              <w:outlineLvl w:val="4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1.车间存放危险化学品不得超过一昼夜使用量。</w:t>
            </w:r>
          </w:p>
          <w:p>
            <w:pPr>
              <w:keepNext/>
              <w:keepLines/>
              <w:jc w:val="left"/>
              <w:outlineLvl w:val="4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2.使用量较小的应放置在防爆柜内。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jc w:val="left"/>
              <w:outlineLvl w:val="4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1.现场配备灭火器等消防器材。</w:t>
            </w:r>
          </w:p>
          <w:p>
            <w:pPr>
              <w:keepNext/>
              <w:keepLines/>
              <w:jc w:val="left"/>
              <w:outlineLvl w:val="4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2.作业人员佩防油手套和防毒面具。</w:t>
            </w:r>
          </w:p>
          <w:p>
            <w:pPr>
              <w:keepNext/>
              <w:keepLines/>
              <w:jc w:val="left"/>
              <w:outlineLvl w:val="4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3.企业编制应急预案并定期演练。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仓库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仓库货物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可燃物、电气线路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1.货物堆放不规范；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2.电气线路安装不规范；</w:t>
            </w:r>
          </w:p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3.人员违规作业。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火灾、爆炸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1.按规范要求配置消防灭火器材；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2.仓库耐火等级、防火分隔符合要求；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3.按要求规范设置电气线路，使用低温照明灯具；</w:t>
            </w:r>
          </w:p>
          <w:p>
            <w:pPr>
              <w:widowControl/>
              <w:numPr>
                <w:ilvl w:val="255"/>
                <w:numId w:val="0"/>
              </w:numPr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4.严格按照“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五距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”要求堆放货物。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1.加强人员安全培训；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2.仓库内不得从事生产、加工活动；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3.全面辨识存在的安全风险，制定并有效落实管控措施：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4.定期开展隐患排查，及时消除事故隐患；</w:t>
            </w:r>
          </w:p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5.保持疏散通道畅通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1.制定相适应的现场处置方案；</w:t>
            </w:r>
          </w:p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2.定期进行现场处置方案演练；</w:t>
            </w:r>
          </w:p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3.配备应急物资。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装卸区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装卸作业及货物转运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车辆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货车/叉车）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转运货物使用的叉车及装卸货车辆，可能导致车辆伤害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车辆伤害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1.厂区划定人行道；</w:t>
            </w:r>
          </w:p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2.设置了交通限速和警示标志。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1.对车辆操作区域进行了人员进入限制管理，非工作人员限制进入；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2.车辆和叉车操作建立了严格的管控程序；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3.经取证且经过公司培训授权人员才能操作叉车。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1.作业人员必须戴好安全帽等劳动防护用品；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" w:cs="Times New Roman"/>
                <w:kern w:val="0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...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2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...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5429A"/>
    <w:multiLevelType w:val="multilevel"/>
    <w:tmpl w:val="4315429A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ascii="黑体" w:hAnsi="黑体" w:eastAsia="黑体"/>
      </w:r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1">
    <w:nsid w:val="566F2A5A"/>
    <w:multiLevelType w:val="multilevel"/>
    <w:tmpl w:val="566F2A5A"/>
    <w:lvl w:ilvl="0" w:tentative="0">
      <w:start w:val="1"/>
      <w:numFmt w:val="decimal"/>
      <w:pStyle w:val="62"/>
      <w:suff w:val="nothing"/>
      <w:lvlText w:val="图 4.%1 "/>
      <w:lvlJc w:val="center"/>
      <w:pPr>
        <w:ind w:left="2977" w:firstLine="0"/>
      </w:pPr>
      <w:rPr>
        <w:rFonts w:hint="eastAsia"/>
        <w:lang w:val="en-US"/>
      </w:rPr>
    </w:lvl>
    <w:lvl w:ilvl="1" w:tentative="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2E"/>
    <w:rsid w:val="00007CB4"/>
    <w:rsid w:val="002D232B"/>
    <w:rsid w:val="006778E4"/>
    <w:rsid w:val="006962C9"/>
    <w:rsid w:val="006B051E"/>
    <w:rsid w:val="00BF642E"/>
    <w:rsid w:val="00CD24AB"/>
    <w:rsid w:val="00D85142"/>
    <w:rsid w:val="00EE0AB9"/>
    <w:rsid w:val="14C93272"/>
    <w:rsid w:val="2B1742BE"/>
    <w:rsid w:val="5A4D4CE8"/>
    <w:rsid w:val="5D501418"/>
    <w:rsid w:val="60A25F8D"/>
    <w:rsid w:val="6D6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43"/>
    <w:qFormat/>
    <w:uiPriority w:val="0"/>
    <w:pPr>
      <w:keepNext/>
      <w:keepLines/>
      <w:numPr>
        <w:ilvl w:val="0"/>
        <w:numId w:val="1"/>
      </w:numPr>
      <w:spacing w:beforeLines="100" w:afterLines="100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44"/>
    <w:unhideWhenUsed/>
    <w:qFormat/>
    <w:uiPriority w:val="0"/>
    <w:pPr>
      <w:keepNext/>
      <w:keepLines/>
      <w:numPr>
        <w:ilvl w:val="1"/>
        <w:numId w:val="1"/>
      </w:numPr>
      <w:spacing w:before="240" w:after="240" w:line="560" w:lineRule="exact"/>
      <w:outlineLvl w:val="1"/>
    </w:pPr>
    <w:rPr>
      <w:rFonts w:ascii="黑体" w:hAnsi="黑体" w:eastAsia="黑体" w:cs="Times New Roman"/>
      <w:bCs/>
      <w:color w:val="0D0D0D" w:themeColor="text1" w:themeTint="F2"/>
      <w:sz w:val="28"/>
      <w:szCs w:val="28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styleId="5">
    <w:name w:val="heading 3"/>
    <w:basedOn w:val="1"/>
    <w:next w:val="1"/>
    <w:link w:val="45"/>
    <w:unhideWhenUsed/>
    <w:qFormat/>
    <w:uiPriority w:val="0"/>
    <w:pPr>
      <w:keepNext/>
      <w:keepLines/>
      <w:numPr>
        <w:ilvl w:val="2"/>
        <w:numId w:val="1"/>
      </w:numPr>
      <w:spacing w:line="560" w:lineRule="exact"/>
      <w:outlineLvl w:val="2"/>
    </w:pPr>
    <w:rPr>
      <w:rFonts w:ascii="黑体" w:hAnsi="黑体" w:eastAsia="黑体" w:cs="Times New Roman"/>
      <w:bCs/>
      <w:sz w:val="28"/>
      <w:szCs w:val="28"/>
    </w:rPr>
  </w:style>
  <w:style w:type="paragraph" w:styleId="6">
    <w:name w:val="heading 4"/>
    <w:basedOn w:val="1"/>
    <w:next w:val="1"/>
    <w:link w:val="46"/>
    <w:unhideWhenUsed/>
    <w:qFormat/>
    <w:uiPriority w:val="9"/>
    <w:pPr>
      <w:keepNext/>
      <w:keepLines/>
      <w:numPr>
        <w:ilvl w:val="3"/>
        <w:numId w:val="1"/>
      </w:numPr>
      <w:tabs>
        <w:tab w:val="left" w:pos="993"/>
      </w:tabs>
      <w:spacing w:line="560" w:lineRule="exact"/>
      <w:outlineLvl w:val="3"/>
    </w:pPr>
    <w:rPr>
      <w:rFonts w:ascii="黑体" w:hAnsi="黑体" w:eastAsia="黑体" w:cs="Times New Roman"/>
      <w:bCs/>
      <w:sz w:val="28"/>
      <w:szCs w:val="28"/>
    </w:rPr>
  </w:style>
  <w:style w:type="paragraph" w:styleId="7">
    <w:name w:val="heading 5"/>
    <w:basedOn w:val="1"/>
    <w:next w:val="1"/>
    <w:link w:val="47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48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49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50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51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5"/>
    <w:qFormat/>
    <w:uiPriority w:val="0"/>
    <w:pPr>
      <w:ind w:left="107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12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3">
    <w:name w:val="Normal Indent"/>
    <w:basedOn w:val="1"/>
    <w:link w:val="52"/>
    <w:unhideWhenUsed/>
    <w:qFormat/>
    <w:uiPriority w:val="99"/>
    <w:pPr>
      <w:tabs>
        <w:tab w:val="left" w:pos="3060"/>
      </w:tabs>
      <w:spacing w:line="360" w:lineRule="auto"/>
      <w:ind w:firstLine="420"/>
    </w:pPr>
    <w:rPr>
      <w:rFonts w:ascii="Times New Roman" w:hAnsi="Times New Roman" w:cs="Times New Roman"/>
      <w:color w:val="000000"/>
      <w:sz w:val="24"/>
      <w:szCs w:val="24"/>
    </w:rPr>
  </w:style>
  <w:style w:type="paragraph" w:styleId="1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5">
    <w:name w:val="Document Map"/>
    <w:basedOn w:val="1"/>
    <w:link w:val="53"/>
    <w:unhideWhenUsed/>
    <w:qFormat/>
    <w:uiPriority w:val="99"/>
    <w:rPr>
      <w:rFonts w:ascii="宋体" w:hAnsi="仿宋_GB2312" w:eastAsia="仿宋_GB2312" w:cs="Times New Roman"/>
      <w:sz w:val="18"/>
      <w:szCs w:val="18"/>
    </w:rPr>
  </w:style>
  <w:style w:type="paragraph" w:styleId="16">
    <w:name w:val="annotation text"/>
    <w:basedOn w:val="1"/>
    <w:link w:val="54"/>
    <w:unhideWhenUsed/>
    <w:qFormat/>
    <w:uiPriority w:val="0"/>
    <w:pPr>
      <w:jc w:val="left"/>
    </w:pPr>
  </w:style>
  <w:style w:type="paragraph" w:styleId="1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9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20">
    <w:name w:val="Balloon Text"/>
    <w:basedOn w:val="1"/>
    <w:link w:val="56"/>
    <w:unhideWhenUsed/>
    <w:qFormat/>
    <w:uiPriority w:val="0"/>
    <w:rPr>
      <w:sz w:val="18"/>
      <w:szCs w:val="18"/>
    </w:rPr>
  </w:style>
  <w:style w:type="paragraph" w:styleId="21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4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</w:style>
  <w:style w:type="paragraph" w:styleId="2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5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7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8">
    <w:name w:val="Body Text 2"/>
    <w:basedOn w:val="1"/>
    <w:link w:val="57"/>
    <w:qFormat/>
    <w:uiPriority w:val="0"/>
    <w:pPr>
      <w:jc w:val="center"/>
    </w:pPr>
    <w:rPr>
      <w:rFonts w:ascii="仿宋_GB2312" w:hAnsi="仿宋_GB2312" w:eastAsia="黑体" w:cs="Times New Roman"/>
      <w:sz w:val="44"/>
    </w:rPr>
  </w:style>
  <w:style w:type="paragraph" w:styleId="2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0">
    <w:name w:val="index 1"/>
    <w:basedOn w:val="1"/>
    <w:next w:val="1"/>
    <w:semiHidden/>
    <w:qFormat/>
    <w:uiPriority w:val="0"/>
    <w:rPr>
      <w:color w:val="000000"/>
    </w:rPr>
  </w:style>
  <w:style w:type="paragraph" w:styleId="31">
    <w:name w:val="Title"/>
    <w:basedOn w:val="1"/>
    <w:link w:val="58"/>
    <w:qFormat/>
    <w:uiPriority w:val="0"/>
    <w:pPr>
      <w:spacing w:before="240" w:after="60" w:line="400" w:lineRule="exact"/>
      <w:ind w:firstLine="420" w:firstLineChars="20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paragraph" w:styleId="32">
    <w:name w:val="annotation subject"/>
    <w:basedOn w:val="16"/>
    <w:next w:val="16"/>
    <w:link w:val="59"/>
    <w:unhideWhenUsed/>
    <w:qFormat/>
    <w:uiPriority w:val="99"/>
    <w:rPr>
      <w:b/>
      <w:bCs/>
    </w:rPr>
  </w:style>
  <w:style w:type="table" w:styleId="34">
    <w:name w:val="Table Grid"/>
    <w:basedOn w:val="3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qFormat/>
    <w:uiPriority w:val="22"/>
    <w:rPr>
      <w:b/>
    </w:rPr>
  </w:style>
  <w:style w:type="character" w:styleId="37">
    <w:name w:val="page number"/>
    <w:basedOn w:val="35"/>
    <w:qFormat/>
    <w:uiPriority w:val="0"/>
  </w:style>
  <w:style w:type="character" w:styleId="38">
    <w:name w:val="Emphasis"/>
    <w:basedOn w:val="35"/>
    <w:qFormat/>
    <w:uiPriority w:val="20"/>
    <w:rPr>
      <w:i/>
      <w:iCs/>
    </w:rPr>
  </w:style>
  <w:style w:type="character" w:styleId="39">
    <w:name w:val="Hyperlink"/>
    <w:qFormat/>
    <w:uiPriority w:val="99"/>
    <w:rPr>
      <w:rFonts w:cs="Times New Roman"/>
      <w:color w:val="0000FF"/>
      <w:u w:val="single"/>
    </w:rPr>
  </w:style>
  <w:style w:type="character" w:styleId="40">
    <w:name w:val="annotation reference"/>
    <w:basedOn w:val="35"/>
    <w:unhideWhenUsed/>
    <w:qFormat/>
    <w:uiPriority w:val="0"/>
    <w:rPr>
      <w:sz w:val="21"/>
      <w:szCs w:val="21"/>
    </w:rPr>
  </w:style>
  <w:style w:type="character" w:customStyle="1" w:styleId="41">
    <w:name w:val="页眉 字符"/>
    <w:basedOn w:val="35"/>
    <w:link w:val="22"/>
    <w:qFormat/>
    <w:uiPriority w:val="0"/>
    <w:rPr>
      <w:sz w:val="18"/>
      <w:szCs w:val="18"/>
    </w:rPr>
  </w:style>
  <w:style w:type="character" w:customStyle="1" w:styleId="42">
    <w:name w:val="页脚 字符"/>
    <w:basedOn w:val="35"/>
    <w:link w:val="21"/>
    <w:qFormat/>
    <w:uiPriority w:val="99"/>
    <w:rPr>
      <w:sz w:val="18"/>
      <w:szCs w:val="18"/>
    </w:rPr>
  </w:style>
  <w:style w:type="character" w:customStyle="1" w:styleId="43">
    <w:name w:val="标题 1 字符"/>
    <w:basedOn w:val="35"/>
    <w:link w:val="3"/>
    <w:qFormat/>
    <w:uiPriority w:val="0"/>
    <w:rPr>
      <w:rFonts w:eastAsia="黑体"/>
      <w:bCs/>
      <w:kern w:val="44"/>
      <w:szCs w:val="44"/>
    </w:rPr>
  </w:style>
  <w:style w:type="character" w:customStyle="1" w:styleId="44">
    <w:name w:val="标题 2 字符"/>
    <w:basedOn w:val="35"/>
    <w:link w:val="4"/>
    <w:qFormat/>
    <w:uiPriority w:val="0"/>
    <w:rPr>
      <w:rFonts w:ascii="黑体" w:hAnsi="黑体" w:eastAsia="黑体" w:cs="Times New Roman"/>
      <w:bCs/>
      <w:color w:val="0D0D0D" w:themeColor="text1" w:themeTint="F2"/>
      <w:sz w:val="28"/>
      <w:szCs w:val="28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character" w:customStyle="1" w:styleId="45">
    <w:name w:val="标题 3 字符"/>
    <w:basedOn w:val="35"/>
    <w:link w:val="5"/>
    <w:qFormat/>
    <w:uiPriority w:val="0"/>
    <w:rPr>
      <w:rFonts w:ascii="黑体" w:hAnsi="黑体" w:eastAsia="黑体" w:cs="Times New Roman"/>
      <w:bCs/>
      <w:sz w:val="28"/>
      <w:szCs w:val="28"/>
    </w:rPr>
  </w:style>
  <w:style w:type="character" w:customStyle="1" w:styleId="46">
    <w:name w:val="标题 4 字符"/>
    <w:basedOn w:val="35"/>
    <w:link w:val="6"/>
    <w:qFormat/>
    <w:uiPriority w:val="9"/>
    <w:rPr>
      <w:rFonts w:ascii="黑体" w:hAnsi="黑体" w:eastAsia="黑体" w:cs="Times New Roman"/>
      <w:bCs/>
      <w:sz w:val="28"/>
      <w:szCs w:val="28"/>
    </w:rPr>
  </w:style>
  <w:style w:type="character" w:customStyle="1" w:styleId="47">
    <w:name w:val="标题 5 字符"/>
    <w:basedOn w:val="35"/>
    <w:link w:val="7"/>
    <w:qFormat/>
    <w:uiPriority w:val="9"/>
    <w:rPr>
      <w:b/>
      <w:bCs/>
      <w:sz w:val="28"/>
      <w:szCs w:val="28"/>
    </w:rPr>
  </w:style>
  <w:style w:type="character" w:customStyle="1" w:styleId="48">
    <w:name w:val="标题 6 字符"/>
    <w:basedOn w:val="35"/>
    <w:link w:val="8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9">
    <w:name w:val="标题 7 字符"/>
    <w:basedOn w:val="35"/>
    <w:link w:val="9"/>
    <w:qFormat/>
    <w:uiPriority w:val="9"/>
    <w:rPr>
      <w:b/>
      <w:bCs/>
      <w:sz w:val="24"/>
      <w:szCs w:val="24"/>
    </w:rPr>
  </w:style>
  <w:style w:type="character" w:customStyle="1" w:styleId="50">
    <w:name w:val="标题 8 字符"/>
    <w:basedOn w:val="35"/>
    <w:link w:val="10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51">
    <w:name w:val="标题 9 字符"/>
    <w:basedOn w:val="35"/>
    <w:link w:val="11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52">
    <w:name w:val="正文缩进 字符"/>
    <w:link w:val="13"/>
    <w:qFormat/>
    <w:locked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53">
    <w:name w:val="文档结构图 字符"/>
    <w:basedOn w:val="35"/>
    <w:link w:val="15"/>
    <w:qFormat/>
    <w:uiPriority w:val="99"/>
    <w:rPr>
      <w:rFonts w:ascii="宋体" w:hAnsi="仿宋_GB2312" w:eastAsia="仿宋_GB2312" w:cs="Times New Roman"/>
      <w:sz w:val="18"/>
      <w:szCs w:val="18"/>
    </w:rPr>
  </w:style>
  <w:style w:type="character" w:customStyle="1" w:styleId="54">
    <w:name w:val="批注文字 字符"/>
    <w:basedOn w:val="35"/>
    <w:link w:val="16"/>
    <w:qFormat/>
    <w:uiPriority w:val="0"/>
  </w:style>
  <w:style w:type="character" w:customStyle="1" w:styleId="55">
    <w:name w:val="正文文本 字符"/>
    <w:basedOn w:val="35"/>
    <w:link w:val="2"/>
    <w:qFormat/>
    <w:uiPriority w:val="0"/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character" w:customStyle="1" w:styleId="56">
    <w:name w:val="批注框文本 字符"/>
    <w:basedOn w:val="35"/>
    <w:link w:val="20"/>
    <w:qFormat/>
    <w:uiPriority w:val="0"/>
    <w:rPr>
      <w:sz w:val="18"/>
      <w:szCs w:val="18"/>
    </w:rPr>
  </w:style>
  <w:style w:type="character" w:customStyle="1" w:styleId="57">
    <w:name w:val="正文文本 2 字符"/>
    <w:basedOn w:val="35"/>
    <w:link w:val="28"/>
    <w:qFormat/>
    <w:uiPriority w:val="0"/>
    <w:rPr>
      <w:rFonts w:ascii="仿宋_GB2312" w:hAnsi="仿宋_GB2312" w:eastAsia="黑体" w:cs="Times New Roman"/>
      <w:sz w:val="44"/>
    </w:rPr>
  </w:style>
  <w:style w:type="character" w:customStyle="1" w:styleId="58">
    <w:name w:val="标题 字符"/>
    <w:basedOn w:val="35"/>
    <w:link w:val="31"/>
    <w:qFormat/>
    <w:uiPriority w:val="0"/>
    <w:rPr>
      <w:rFonts w:ascii="Arial" w:hAnsi="Arial" w:eastAsia="宋体" w:cs="Times New Roman"/>
      <w:b/>
      <w:sz w:val="32"/>
      <w:szCs w:val="24"/>
    </w:rPr>
  </w:style>
  <w:style w:type="character" w:customStyle="1" w:styleId="59">
    <w:name w:val="批注主题 字符"/>
    <w:basedOn w:val="54"/>
    <w:link w:val="32"/>
    <w:qFormat/>
    <w:uiPriority w:val="99"/>
    <w:rPr>
      <w:b/>
      <w:bCs/>
    </w:rPr>
  </w:style>
  <w:style w:type="paragraph" w:styleId="60">
    <w:name w:val="List Paragraph"/>
    <w:basedOn w:val="1"/>
    <w:link w:val="61"/>
    <w:qFormat/>
    <w:uiPriority w:val="34"/>
    <w:pPr>
      <w:ind w:firstLine="420" w:firstLineChars="200"/>
    </w:pPr>
  </w:style>
  <w:style w:type="character" w:customStyle="1" w:styleId="61">
    <w:name w:val="列出段落 字符"/>
    <w:basedOn w:val="35"/>
    <w:link w:val="60"/>
    <w:qFormat/>
    <w:uiPriority w:val="34"/>
  </w:style>
  <w:style w:type="paragraph" w:customStyle="1" w:styleId="62">
    <w:name w:val="图"/>
    <w:basedOn w:val="1"/>
    <w:next w:val="1"/>
    <w:qFormat/>
    <w:uiPriority w:val="0"/>
    <w:pPr>
      <w:numPr>
        <w:ilvl w:val="0"/>
        <w:numId w:val="2"/>
      </w:numPr>
      <w:spacing w:line="560" w:lineRule="exact"/>
      <w:jc w:val="center"/>
    </w:pPr>
    <w:rPr>
      <w:rFonts w:ascii="宋体" w:hAnsi="宋体" w:eastAsia="宋体" w:cs="Times New Roman"/>
      <w:b/>
      <w:sz w:val="24"/>
      <w:szCs w:val="28"/>
    </w:rPr>
  </w:style>
  <w:style w:type="paragraph" w:customStyle="1" w:styleId="6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6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65">
    <w:name w:val="正文文本 (5)"/>
    <w:basedOn w:val="1"/>
    <w:link w:val="66"/>
    <w:qFormat/>
    <w:uiPriority w:val="0"/>
    <w:pPr>
      <w:shd w:val="clear" w:color="auto" w:fill="FFFFFF"/>
      <w:adjustRightInd w:val="0"/>
      <w:snapToGrid w:val="0"/>
      <w:spacing w:beforeLines="50" w:afterLines="50" w:line="0" w:lineRule="atLeast"/>
      <w:ind w:firstLine="560" w:firstLineChars="200"/>
    </w:pPr>
    <w:rPr>
      <w:rFonts w:ascii="宋体" w:hAnsi="宋体" w:eastAsia="仿宋_GB2312" w:cs="宋体"/>
      <w:b/>
      <w:bCs/>
      <w:spacing w:val="-10"/>
      <w:sz w:val="28"/>
      <w:szCs w:val="28"/>
    </w:rPr>
  </w:style>
  <w:style w:type="character" w:customStyle="1" w:styleId="66">
    <w:name w:val="正文文本 (5)_"/>
    <w:basedOn w:val="35"/>
    <w:link w:val="65"/>
    <w:qFormat/>
    <w:uiPriority w:val="0"/>
    <w:rPr>
      <w:rFonts w:ascii="宋体" w:hAnsi="宋体" w:eastAsia="仿宋_GB2312" w:cs="宋体"/>
      <w:b/>
      <w:bCs/>
      <w:spacing w:val="-10"/>
      <w:sz w:val="28"/>
      <w:szCs w:val="28"/>
      <w:shd w:val="clear" w:color="auto" w:fill="FFFFFF"/>
    </w:rPr>
  </w:style>
  <w:style w:type="paragraph" w:customStyle="1" w:styleId="67">
    <w:name w:val="TOC 标题1"/>
    <w:basedOn w:val="3"/>
    <w:next w:val="1"/>
    <w:unhideWhenUsed/>
    <w:qFormat/>
    <w:uiPriority w:val="39"/>
    <w:pPr>
      <w:widowControl/>
      <w:numPr>
        <w:numId w:val="0"/>
      </w:numPr>
      <w:spacing w:before="240" w:beforeLines="0" w:afterLines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 w:val="32"/>
      <w:szCs w:val="32"/>
    </w:rPr>
  </w:style>
  <w:style w:type="paragraph" w:customStyle="1" w:styleId="68">
    <w:name w:val="目次、标准名称标题"/>
    <w:basedOn w:val="1"/>
    <w:next w:val="69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6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customStyle="1" w:styleId="70">
    <w:name w:val="章标题"/>
    <w:next w:val="69"/>
    <w:qFormat/>
    <w:uiPriority w:val="0"/>
    <w:p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character" w:customStyle="1" w:styleId="71">
    <w:name w:val="font21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paragraph" w:customStyle="1" w:styleId="72">
    <w:name w:val="首行缩进"/>
    <w:basedOn w:val="1"/>
    <w:qFormat/>
    <w:uiPriority w:val="0"/>
    <w:pPr>
      <w:ind w:firstLine="200" w:firstLineChars="200"/>
    </w:pPr>
    <w:rPr>
      <w:rFonts w:eastAsia="仿宋_GB2312"/>
      <w:sz w:val="28"/>
      <w:szCs w:val="28"/>
    </w:rPr>
  </w:style>
  <w:style w:type="paragraph" w:customStyle="1" w:styleId="73">
    <w:name w:val="WPSOffice手动目录 1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7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75">
    <w:name w:val="zhenwen14"/>
    <w:basedOn w:val="35"/>
    <w:qFormat/>
    <w:uiPriority w:val="0"/>
  </w:style>
  <w:style w:type="character" w:customStyle="1" w:styleId="76">
    <w:name w:val="正文文本 Char"/>
    <w:basedOn w:val="35"/>
    <w:qFormat/>
    <w:uiPriority w:val="0"/>
    <w:rPr>
      <w:sz w:val="18"/>
      <w:szCs w:val="18"/>
    </w:rPr>
  </w:style>
  <w:style w:type="character" w:customStyle="1" w:styleId="77">
    <w:name w:val="无间隔 字符"/>
    <w:basedOn w:val="35"/>
    <w:link w:val="78"/>
    <w:qFormat/>
    <w:uiPriority w:val="0"/>
    <w:rPr>
      <w:sz w:val="22"/>
    </w:rPr>
  </w:style>
  <w:style w:type="paragraph" w:customStyle="1" w:styleId="78">
    <w:name w:val="无间隔1"/>
    <w:link w:val="77"/>
    <w:qFormat/>
    <w:uiPriority w:val="0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79">
    <w:name w:val="批注文字 Char"/>
    <w:basedOn w:val="35"/>
    <w:qFormat/>
    <w:uiPriority w:val="0"/>
    <w:rPr>
      <w:rFonts w:ascii="Calibri" w:hAnsi="Calibri"/>
    </w:rPr>
  </w:style>
  <w:style w:type="paragraph" w:customStyle="1" w:styleId="80">
    <w:name w:val="样式6"/>
    <w:basedOn w:val="3"/>
    <w:qFormat/>
    <w:uiPriority w:val="0"/>
    <w:pPr>
      <w:numPr>
        <w:numId w:val="0"/>
      </w:numPr>
      <w:adjustRightInd w:val="0"/>
      <w:snapToGrid w:val="0"/>
      <w:spacing w:before="340" w:beforeLines="0" w:after="330" w:afterLines="0" w:line="578" w:lineRule="auto"/>
    </w:pPr>
    <w:rPr>
      <w:rFonts w:ascii="黑体" w:hAnsi="宋体" w:cs="Times New Roman"/>
      <w:szCs w:val="21"/>
    </w:rPr>
  </w:style>
  <w:style w:type="paragraph" w:customStyle="1" w:styleId="81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20"/>
      <w:szCs w:val="21"/>
    </w:rPr>
  </w:style>
  <w:style w:type="paragraph" w:customStyle="1" w:styleId="82">
    <w:name w:val="Char"/>
    <w:basedOn w:val="1"/>
    <w:qFormat/>
    <w:uiPriority w:val="0"/>
    <w:rPr>
      <w:rFonts w:ascii="Tahoma" w:hAnsi="Tahoma" w:eastAsia="仿宋_GB2312" w:cs="Times New Roman"/>
      <w:sz w:val="24"/>
      <w:szCs w:val="20"/>
    </w:rPr>
  </w:style>
  <w:style w:type="paragraph" w:customStyle="1" w:styleId="83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一级条标题"/>
    <w:next w:val="1"/>
    <w:qFormat/>
    <w:uiPriority w:val="0"/>
    <w:pPr>
      <w:tabs>
        <w:tab w:val="left" w:pos="1260"/>
      </w:tabs>
      <w:ind w:left="1260" w:hanging="420"/>
      <w:outlineLvl w:val="2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character" w:customStyle="1" w:styleId="85">
    <w:name w:val="apple-converted-space"/>
    <w:basedOn w:val="35"/>
    <w:qFormat/>
    <w:uiPriority w:val="0"/>
  </w:style>
  <w:style w:type="paragraph" w:customStyle="1" w:styleId="86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20"/>
      <w:szCs w:val="21"/>
    </w:rPr>
  </w:style>
  <w:style w:type="paragraph" w:customStyle="1" w:styleId="87">
    <w:name w:val="xl2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仿宋_GB2312" w:cs="Times New Roman"/>
      <w:kern w:val="0"/>
      <w:sz w:val="20"/>
      <w:szCs w:val="21"/>
    </w:rPr>
  </w:style>
  <w:style w:type="paragraph" w:customStyle="1" w:styleId="88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仿宋_GB2312" w:cs="Times New Roman"/>
      <w:kern w:val="0"/>
      <w:sz w:val="24"/>
      <w:szCs w:val="24"/>
    </w:rPr>
  </w:style>
  <w:style w:type="paragraph" w:customStyle="1" w:styleId="89">
    <w:name w:val="引用1"/>
    <w:basedOn w:val="1"/>
    <w:next w:val="1"/>
    <w:link w:val="90"/>
    <w:qFormat/>
    <w:uiPriority w:val="29"/>
    <w:rPr>
      <w:i/>
      <w:iCs/>
      <w:color w:val="000000" w:themeColor="text1"/>
      <w:sz w:val="20"/>
      <w14:textFill>
        <w14:solidFill>
          <w14:schemeClr w14:val="tx1"/>
        </w14:solidFill>
      </w14:textFill>
    </w:rPr>
  </w:style>
  <w:style w:type="character" w:customStyle="1" w:styleId="90">
    <w:name w:val="引用 字符"/>
    <w:basedOn w:val="35"/>
    <w:link w:val="89"/>
    <w:qFormat/>
    <w:uiPriority w:val="29"/>
    <w:rPr>
      <w:i/>
      <w:iCs/>
      <w:color w:val="000000" w:themeColor="text1"/>
      <w:sz w:val="20"/>
      <w14:textFill>
        <w14:solidFill>
          <w14:schemeClr w14:val="tx1"/>
        </w14:solidFill>
      </w14:textFill>
    </w:rPr>
  </w:style>
  <w:style w:type="character" w:customStyle="1" w:styleId="91">
    <w:name w:val="font31"/>
    <w:basedOn w:val="3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2">
    <w:name w:val="font11"/>
    <w:basedOn w:val="3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3">
    <w:name w:val="font01"/>
    <w:basedOn w:val="3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4">
    <w:name w:val="font61"/>
    <w:basedOn w:val="3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95">
    <w:name w:val="修订2"/>
    <w:hidden/>
    <w:semiHidden/>
    <w:qFormat/>
    <w:uiPriority w:val="99"/>
    <w:rPr>
      <w:rFonts w:ascii="仿宋_GB2312" w:hAnsi="仿宋_GB2312" w:eastAsia="仿宋_GB2312" w:cs="Times New Roman"/>
      <w:kern w:val="2"/>
      <w:sz w:val="20"/>
      <w:szCs w:val="22"/>
      <w:lang w:val="en-US" w:eastAsia="zh-CN" w:bidi="ar-SA"/>
    </w:rPr>
  </w:style>
  <w:style w:type="character" w:customStyle="1" w:styleId="96">
    <w:name w:val="font41"/>
    <w:basedOn w:val="3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97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98">
    <w:name w:val="TOC 标题2"/>
    <w:basedOn w:val="3"/>
    <w:next w:val="1"/>
    <w:unhideWhenUsed/>
    <w:qFormat/>
    <w:uiPriority w:val="39"/>
    <w:pPr>
      <w:widowControl/>
      <w:numPr>
        <w:numId w:val="0"/>
      </w:numPr>
      <w:spacing w:before="240" w:beforeLines="0" w:afterLines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 w:val="32"/>
      <w:szCs w:val="32"/>
    </w:rPr>
  </w:style>
  <w:style w:type="paragraph" w:customStyle="1" w:styleId="9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581</Words>
  <Characters>3312</Characters>
  <Lines>27</Lines>
  <Paragraphs>7</Paragraphs>
  <TotalTime>5</TotalTime>
  <ScaleCrop>false</ScaleCrop>
  <LinksUpToDate>false</LinksUpToDate>
  <CharactersWithSpaces>3886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2020-09-08T04:59:00Z</dcterms:created>
  <dc:creator>裴喜华</dc:creator>
  <cp:lastModifiedBy>王恺</cp:lastModifiedBy>
  <dcterms:modified xsi:type="dcterms:W3CDTF">2020-09-10T11:36:47Z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