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采纳代表建议并转化成实际工作情况一览表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44"/>
          <w:szCs w:val="44"/>
        </w:rPr>
      </w:pPr>
    </w:p>
    <w:tbl>
      <w:tblPr>
        <w:tblStyle w:val="5"/>
        <w:tblW w:w="15510" w:type="dxa"/>
        <w:jc w:val="center"/>
        <w:tblInd w:w="-96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650"/>
        <w:gridCol w:w="2415"/>
        <w:gridCol w:w="1335"/>
        <w:gridCol w:w="8236"/>
        <w:gridCol w:w="10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0" w:hRule="atLeast"/>
          <w:tblHeader/>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ascii="黑体" w:hAnsi="黑体" w:eastAsia="黑体"/>
                <w:sz w:val="24"/>
                <w:szCs w:val="24"/>
              </w:rPr>
            </w:pPr>
            <w:r>
              <w:rPr>
                <w:rFonts w:hint="eastAsia" w:ascii="黑体" w:hAnsi="黑体" w:eastAsia="黑体"/>
                <w:sz w:val="24"/>
                <w:szCs w:val="24"/>
              </w:rPr>
              <w:t>序号</w:t>
            </w:r>
          </w:p>
        </w:tc>
        <w:tc>
          <w:tcPr>
            <w:tcW w:w="1650" w:type="dxa"/>
            <w:shd w:val="clear" w:color="auto" w:fill="auto"/>
            <w:tcMar>
              <w:top w:w="54" w:type="dxa"/>
              <w:left w:w="144" w:type="dxa"/>
              <w:bottom w:w="54" w:type="dxa"/>
              <w:right w:w="144" w:type="dxa"/>
            </w:tcMar>
            <w:vAlign w:val="center"/>
          </w:tcPr>
          <w:p>
            <w:pPr>
              <w:spacing w:line="240" w:lineRule="auto"/>
              <w:jc w:val="center"/>
              <w:rPr>
                <w:rFonts w:ascii="黑体" w:hAnsi="黑体" w:eastAsia="黑体"/>
                <w:sz w:val="24"/>
                <w:szCs w:val="24"/>
              </w:rPr>
            </w:pPr>
            <w:r>
              <w:rPr>
                <w:rFonts w:hint="eastAsia" w:ascii="黑体" w:hAnsi="黑体" w:eastAsia="黑体"/>
                <w:sz w:val="24"/>
                <w:szCs w:val="24"/>
              </w:rPr>
              <w:t>案号</w:t>
            </w:r>
          </w:p>
        </w:tc>
        <w:tc>
          <w:tcPr>
            <w:tcW w:w="2415" w:type="dxa"/>
            <w:shd w:val="clear" w:color="auto" w:fill="auto"/>
            <w:tcMar>
              <w:top w:w="54" w:type="dxa"/>
              <w:left w:w="144" w:type="dxa"/>
              <w:bottom w:w="54" w:type="dxa"/>
              <w:right w:w="144" w:type="dxa"/>
            </w:tcMar>
            <w:vAlign w:val="center"/>
          </w:tcPr>
          <w:p>
            <w:pPr>
              <w:spacing w:line="240" w:lineRule="auto"/>
              <w:jc w:val="center"/>
              <w:rPr>
                <w:rFonts w:ascii="黑体" w:hAnsi="黑体" w:eastAsia="黑体"/>
                <w:sz w:val="24"/>
                <w:szCs w:val="24"/>
              </w:rPr>
            </w:pPr>
            <w:r>
              <w:rPr>
                <w:rFonts w:hint="eastAsia" w:ascii="黑体" w:hAnsi="黑体" w:eastAsia="黑体"/>
                <w:sz w:val="24"/>
                <w:szCs w:val="24"/>
              </w:rPr>
              <w:t>建议标题</w:t>
            </w:r>
          </w:p>
        </w:tc>
        <w:tc>
          <w:tcPr>
            <w:tcW w:w="1335" w:type="dxa"/>
            <w:shd w:val="clear" w:color="auto" w:fill="auto"/>
            <w:tcMar>
              <w:top w:w="54" w:type="dxa"/>
              <w:left w:w="144" w:type="dxa"/>
              <w:bottom w:w="54" w:type="dxa"/>
              <w:right w:w="144" w:type="dxa"/>
            </w:tcMar>
            <w:vAlign w:val="center"/>
          </w:tcPr>
          <w:p>
            <w:pPr>
              <w:spacing w:line="240" w:lineRule="auto"/>
              <w:jc w:val="center"/>
              <w:rPr>
                <w:rFonts w:ascii="黑体" w:hAnsi="黑体" w:eastAsia="黑体"/>
                <w:sz w:val="24"/>
                <w:szCs w:val="24"/>
              </w:rPr>
            </w:pPr>
            <w:r>
              <w:rPr>
                <w:rFonts w:hint="eastAsia" w:ascii="黑体" w:hAnsi="黑体" w:eastAsia="黑体"/>
                <w:sz w:val="24"/>
                <w:szCs w:val="24"/>
              </w:rPr>
              <w:t>办理类型</w:t>
            </w:r>
          </w:p>
        </w:tc>
        <w:tc>
          <w:tcPr>
            <w:tcW w:w="8236" w:type="dxa"/>
            <w:shd w:val="clear" w:color="auto" w:fill="auto"/>
            <w:tcMar>
              <w:top w:w="54" w:type="dxa"/>
              <w:left w:w="144" w:type="dxa"/>
              <w:bottom w:w="54" w:type="dxa"/>
              <w:right w:w="144" w:type="dxa"/>
            </w:tcMar>
            <w:vAlign w:val="center"/>
          </w:tcPr>
          <w:p>
            <w:pPr>
              <w:spacing w:line="240" w:lineRule="auto"/>
              <w:jc w:val="center"/>
              <w:rPr>
                <w:rFonts w:ascii="黑体" w:hAnsi="黑体" w:eastAsia="黑体"/>
                <w:sz w:val="24"/>
                <w:szCs w:val="24"/>
              </w:rPr>
            </w:pPr>
            <w:r>
              <w:rPr>
                <w:rFonts w:hint="eastAsia" w:ascii="黑体" w:hAnsi="黑体" w:eastAsia="黑体"/>
                <w:sz w:val="24"/>
                <w:szCs w:val="24"/>
              </w:rPr>
              <w:t>证明材料类型</w:t>
            </w:r>
          </w:p>
        </w:tc>
        <w:tc>
          <w:tcPr>
            <w:tcW w:w="1094" w:type="dxa"/>
            <w:shd w:val="clear" w:color="auto" w:fill="auto"/>
            <w:tcMar>
              <w:top w:w="54" w:type="dxa"/>
              <w:left w:w="144" w:type="dxa"/>
              <w:bottom w:w="54" w:type="dxa"/>
              <w:right w:w="144" w:type="dxa"/>
            </w:tcMar>
            <w:vAlign w:val="center"/>
          </w:tcPr>
          <w:p>
            <w:pPr>
              <w:spacing w:line="240" w:lineRule="auto"/>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02"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90134</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加大国家安全生产法和深圳（</w:t>
            </w:r>
            <w:r>
              <w:rPr>
                <w:rFonts w:hint="eastAsia" w:ascii="仿宋_GB2312" w:hAnsi="仿宋_GB2312" w:eastAsia="仿宋_GB2312" w:cs="仿宋_GB2312"/>
                <w:sz w:val="24"/>
                <w:szCs w:val="24"/>
                <w:lang w:val="en-US" w:eastAsia="zh-CN"/>
              </w:rPr>
              <w:t>308</w:t>
            </w:r>
            <w:r>
              <w:rPr>
                <w:rFonts w:hint="eastAsia" w:ascii="仿宋_GB2312" w:hAnsi="仿宋_GB2312" w:eastAsia="仿宋_GB2312" w:cs="仿宋_GB2312"/>
                <w:sz w:val="24"/>
                <w:szCs w:val="24"/>
                <w:lang w:eastAsia="zh-CN"/>
              </w:rPr>
              <w:t>）号令宣传培训力度的建议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w:t>
            </w:r>
          </w:p>
        </w:tc>
        <w:tc>
          <w:tcPr>
            <w:tcW w:w="8236" w:type="dxa"/>
            <w:shd w:val="clear" w:color="auto" w:fill="auto"/>
            <w:tcMar>
              <w:top w:w="54" w:type="dxa"/>
              <w:left w:w="144" w:type="dxa"/>
              <w:bottom w:w="54" w:type="dxa"/>
              <w:right w:w="144" w:type="dxa"/>
            </w:tcMar>
            <w:vAlign w:val="center"/>
          </w:tcPr>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1.安全生产法宣传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）深圳市2018年安全生产精准普法活动实施方案及活动安排表；</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）宣传周普法活动新闻稿截图（</w:t>
            </w:r>
            <w:r>
              <w:rPr>
                <w:rFonts w:hint="eastAsia" w:ascii="仿宋_GB2312" w:hAnsi="仿宋_GB2312" w:eastAsia="仿宋_GB2312" w:cs="仿宋_GB2312"/>
                <w:sz w:val="24"/>
                <w:szCs w:val="24"/>
                <w:lang w:val="en-US" w:eastAsia="zh-CN"/>
              </w:rPr>
              <w:t>1张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）精准普法活动新闻稿截图（</w:t>
            </w:r>
            <w:r>
              <w:rPr>
                <w:rFonts w:hint="eastAsia" w:ascii="仿宋_GB2312" w:hAnsi="仿宋_GB2312" w:eastAsia="仿宋_GB2312" w:cs="仿宋_GB2312"/>
                <w:sz w:val="24"/>
                <w:szCs w:val="24"/>
                <w:lang w:val="en-US" w:eastAsia="zh-CN"/>
              </w:rPr>
              <w:t>2张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）深圳市安全生产监督管理局2018年学法普法活动项目总结报告；</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）安全大讲堂系列活动新闻稿截图（</w:t>
            </w:r>
            <w:r>
              <w:rPr>
                <w:rFonts w:hint="eastAsia" w:ascii="仿宋_GB2312" w:hAnsi="仿宋_GB2312" w:eastAsia="仿宋_GB2312" w:cs="仿宋_GB2312"/>
                <w:sz w:val="24"/>
                <w:szCs w:val="24"/>
                <w:lang w:val="en-US" w:eastAsia="zh-CN"/>
              </w:rPr>
              <w:t>1张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2.安全生产主体责任规定宣传：</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（1）市安委办关于印发推动落实《深圳市生产经营单位安全生产主体责任规定》工作方案的通知（深安办〔2018〕149号）；</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）深圳市生产经营单位安全生产主体责任知识学习读本；</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）市安委办关于发放《深圳市生产经营单位安全生产主体责任规定读本》的通知（深安办〔2018〕211号）；</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）市安委办关于迅速组织全市企事业单位落实安全生产工作有关要求的紧急通知（深安办〔2018〕249号）；</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）市安委办关于推动落实《深圳市生产经营单位安全生产主体责任规定》工作进展情况的第五轮通报；</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）《规定》宣传工作信息稿（2篇）。</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3.物业服务业行业从业人员宣传：</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）物业服务安全与应急管理导则SZDBZ 3062018；</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）物业服务行业安全管理检查评价规范SZDB_Z307-2018；</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）文件宣贯新闻稿截图（</w:t>
            </w:r>
            <w:r>
              <w:rPr>
                <w:rFonts w:hint="eastAsia" w:ascii="仿宋_GB2312" w:hAnsi="仿宋_GB2312" w:eastAsia="仿宋_GB2312" w:cs="仿宋_GB2312"/>
                <w:sz w:val="24"/>
                <w:szCs w:val="24"/>
                <w:lang w:val="en-US" w:eastAsia="zh-CN"/>
              </w:rPr>
              <w:t>1张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4.行业企业主要负责人等学习教育：</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）《规定》在线学习测试微信小程序截图（</w:t>
            </w:r>
            <w:r>
              <w:rPr>
                <w:rFonts w:hint="eastAsia" w:ascii="仿宋_GB2312" w:hAnsi="仿宋_GB2312" w:eastAsia="仿宋_GB2312" w:cs="仿宋_GB2312"/>
                <w:sz w:val="24"/>
                <w:szCs w:val="24"/>
                <w:lang w:val="en-US" w:eastAsia="zh-CN"/>
              </w:rPr>
              <w:t>3张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）物业管理安全生产工作要点。</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5.多媒体普法宣传：</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）12350安全零距离节目截图（</w:t>
            </w:r>
            <w:r>
              <w:rPr>
                <w:rFonts w:hint="eastAsia" w:ascii="仿宋_GB2312" w:hAnsi="仿宋_GB2312" w:eastAsia="仿宋_GB2312" w:cs="仿宋_GB2312"/>
                <w:sz w:val="24"/>
                <w:szCs w:val="24"/>
                <w:lang w:val="en-US" w:eastAsia="zh-CN"/>
              </w:rPr>
              <w:t>1张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）深圳广电集团与深圳市安监局2018年合作方案（安全婆婆嘴）；</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）安全婆婆嘴新闻宣传稿截图（</w:t>
            </w:r>
            <w:r>
              <w:rPr>
                <w:rFonts w:hint="eastAsia" w:ascii="仿宋_GB2312" w:hAnsi="仿宋_GB2312" w:eastAsia="仿宋_GB2312" w:cs="仿宋_GB2312"/>
                <w:sz w:val="24"/>
                <w:szCs w:val="24"/>
                <w:lang w:val="en-US" w:eastAsia="zh-CN"/>
              </w:rPr>
              <w:t>1张</w:t>
            </w:r>
            <w:r>
              <w:rPr>
                <w:rFonts w:hint="eastAsia" w:ascii="仿宋_GB2312" w:hAnsi="仿宋_GB2312" w:eastAsia="仿宋_GB2312" w:cs="仿宋_GB2312"/>
                <w:sz w:val="24"/>
                <w:szCs w:val="24"/>
                <w:lang w:eastAsia="zh-CN"/>
              </w:rPr>
              <w:t>）；</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）深圳广播电台合作方案（898、1062、971频率）</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）官网、官方微博、微信公众号、官方抖音截图（</w:t>
            </w:r>
            <w:r>
              <w:rPr>
                <w:rFonts w:hint="eastAsia" w:ascii="仿宋_GB2312" w:hAnsi="仿宋_GB2312" w:eastAsia="仿宋_GB2312" w:cs="仿宋_GB2312"/>
                <w:sz w:val="24"/>
                <w:szCs w:val="24"/>
                <w:lang w:val="en-US" w:eastAsia="zh-CN"/>
              </w:rPr>
              <w:t>4张</w:t>
            </w:r>
            <w:r>
              <w:rPr>
                <w:rFonts w:hint="eastAsia" w:ascii="仿宋_GB2312" w:hAnsi="仿宋_GB2312" w:eastAsia="仿宋_GB2312" w:cs="仿宋_GB2312"/>
                <w:sz w:val="24"/>
                <w:szCs w:val="24"/>
                <w:lang w:eastAsia="zh-CN"/>
              </w:rPr>
              <w:t>）。</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90425</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运用</w:t>
            </w:r>
            <w:r>
              <w:rPr>
                <w:rFonts w:hint="eastAsia" w:ascii="仿宋_GB2312" w:hAnsi="仿宋_GB2312" w:eastAsia="仿宋_GB2312" w:cs="仿宋_GB2312"/>
                <w:sz w:val="24"/>
                <w:szCs w:val="24"/>
                <w:lang w:val="en-US" w:eastAsia="zh-CN"/>
              </w:rPr>
              <w:t>VR进行安全生产培训、提升职工安全意识的建议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w:t>
            </w:r>
          </w:p>
        </w:tc>
        <w:tc>
          <w:tcPr>
            <w:tcW w:w="8236" w:type="dxa"/>
            <w:shd w:val="clear" w:color="auto" w:fill="auto"/>
            <w:tcMar>
              <w:top w:w="54" w:type="dxa"/>
              <w:left w:w="144" w:type="dxa"/>
              <w:bottom w:w="54" w:type="dxa"/>
              <w:right w:w="144" w:type="dxa"/>
            </w:tcMar>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1.安全教育基地</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2019年6月16日深圳市安全生产月咨询日活动现场面向市民开展多灾种应急逃生VR体验</w:t>
            </w:r>
            <w:r>
              <w:rPr>
                <w:rFonts w:hint="eastAsia" w:ascii="仿宋_GB2312" w:hAnsi="仿宋_GB2312" w:eastAsia="仿宋_GB2312" w:cs="仿宋_GB2312"/>
                <w:sz w:val="24"/>
                <w:szCs w:val="24"/>
                <w:lang w:eastAsia="zh-CN"/>
              </w:rPr>
              <w:t>图片（</w:t>
            </w:r>
            <w:r>
              <w:rPr>
                <w:rFonts w:hint="eastAsia" w:ascii="仿宋_GB2312" w:hAnsi="仿宋_GB2312" w:eastAsia="仿宋_GB2312" w:cs="仿宋_GB2312"/>
                <w:sz w:val="24"/>
                <w:szCs w:val="24"/>
                <w:lang w:val="en-US" w:eastAsia="zh-CN"/>
              </w:rPr>
              <w:t>2张</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南山区安全教育馆醉酒驾驶VR体验设施</w:t>
            </w:r>
            <w:r>
              <w:rPr>
                <w:rFonts w:hint="eastAsia" w:ascii="仿宋_GB2312" w:hAnsi="仿宋_GB2312" w:eastAsia="仿宋_GB2312" w:cs="仿宋_GB2312"/>
                <w:sz w:val="24"/>
                <w:szCs w:val="24"/>
                <w:lang w:eastAsia="zh-CN"/>
              </w:rPr>
              <w:t>图片；</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深圳地铁13号线工人实训馆里的VR体验设施</w:t>
            </w:r>
            <w:r>
              <w:rPr>
                <w:rFonts w:hint="eastAsia" w:ascii="仿宋_GB2312" w:hAnsi="仿宋_GB2312" w:eastAsia="仿宋_GB2312" w:cs="仿宋_GB2312"/>
                <w:sz w:val="24"/>
                <w:szCs w:val="24"/>
                <w:lang w:eastAsia="zh-CN"/>
              </w:rPr>
              <w:t>图片（</w:t>
            </w:r>
            <w:r>
              <w:rPr>
                <w:rFonts w:hint="eastAsia" w:ascii="仿宋_GB2312" w:hAnsi="仿宋_GB2312" w:eastAsia="仿宋_GB2312" w:cs="仿宋_GB2312"/>
                <w:sz w:val="24"/>
                <w:szCs w:val="24"/>
                <w:lang w:val="en-US" w:eastAsia="zh-CN"/>
              </w:rPr>
              <w:t>2张</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VR沉浸式体验安全施工 深圳地铁13号线工人实训馆开馆（新闻稿）</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深圳市安全教育基地VR体验设施</w:t>
            </w:r>
            <w:r>
              <w:rPr>
                <w:rFonts w:hint="eastAsia" w:ascii="仿宋_GB2312" w:hAnsi="仿宋_GB2312" w:eastAsia="仿宋_GB2312" w:cs="仿宋_GB2312"/>
                <w:sz w:val="24"/>
                <w:szCs w:val="24"/>
                <w:lang w:eastAsia="zh-CN"/>
              </w:rPr>
              <w:t>图片。</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2.企业职工安全培训</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）市安委办关于举办2018年安全生产月活动启动仪式的通知；</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）市安委办关于举办安全生产月咨询日活动的通知；</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）深圳市举办2018年“安全生产月”活动暨“市政府第308号令”宣传启动仪式（报省信息稿）；</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）深圳市安全监管局关于开展2018年安全生产月应急演练活动的情况报告（深安监管〔2018〕221号）；</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）安全大讲堂系列活动新闻稿截图。</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3.各区培训活动</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）宝安第一课情况汇报；</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）坪山区安委办关于开展“坪安第一课幸福坪山人”专项活动的情况报告；</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）坪安第一课让安全文化深入人心（新闻稿）。</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90534</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加强老旧住宅小区“房中房”监管力度的建议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分办</w:t>
            </w:r>
          </w:p>
        </w:tc>
        <w:tc>
          <w:tcPr>
            <w:tcW w:w="8236" w:type="dxa"/>
            <w:shd w:val="clear" w:color="auto" w:fill="auto"/>
            <w:tcMar>
              <w:top w:w="54" w:type="dxa"/>
              <w:left w:w="144" w:type="dxa"/>
              <w:bottom w:w="54" w:type="dxa"/>
              <w:right w:w="144" w:type="dxa"/>
            </w:tcMar>
            <w:vAlign w:val="center"/>
          </w:tcPr>
          <w:p>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1.深圳市安委办关于印发全市“房中房”专项整治工作方案的通知（深安办〔2017〕99号）；</w:t>
            </w:r>
          </w:p>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2.市安委办关于延期开展“房中房”专项整治行动的通知（深安办〔2018〕71号）；</w:t>
            </w:r>
          </w:p>
          <w:p>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3.市安委办关于加快完成“房中房”专项整治行动目标任务的通知（深安办〔2018〕257号）；</w:t>
            </w:r>
          </w:p>
          <w:p>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4.市安委办关于“房中房”专项整治行动开展情况的报告（深安办〔2018〕245号）；</w:t>
            </w:r>
          </w:p>
          <w:p>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5.市安委办关于加大攻坚整治力度确保全面完成“房中房”专项整治行动目标任务的通知（深安办〔2019〕114号）</w:t>
            </w:r>
            <w:bookmarkStart w:id="0" w:name="_GoBack"/>
            <w:bookmarkEnd w:id="0"/>
            <w:r>
              <w:rPr>
                <w:rFonts w:hint="eastAsia" w:ascii="仿宋_GB2312" w:hAnsi="仿宋_GB2312" w:eastAsia="仿宋_GB2312" w:cs="仿宋_GB2312"/>
                <w:sz w:val="24"/>
                <w:szCs w:val="24"/>
                <w:lang w:eastAsia="zh-CN"/>
              </w:rPr>
              <w:t>。</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90555</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在政府执法部门设立行业监督员的建议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分办</w:t>
            </w:r>
          </w:p>
        </w:tc>
        <w:tc>
          <w:tcPr>
            <w:tcW w:w="8236" w:type="dxa"/>
            <w:shd w:val="clear" w:color="auto" w:fill="auto"/>
            <w:tcMar>
              <w:top w:w="54" w:type="dxa"/>
              <w:left w:w="144" w:type="dxa"/>
              <w:bottom w:w="54" w:type="dxa"/>
              <w:right w:w="144" w:type="dxa"/>
            </w:tcMar>
            <w:vAlign w:val="center"/>
          </w:tcPr>
          <w:p>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1.市安全监管局印发关于优化安全生产监管方式支持民营经济发展若干措施的通知（深安监管〔2019〕17号）</w:t>
            </w:r>
            <w:r>
              <w:rPr>
                <w:rFonts w:hint="eastAsia" w:ascii="仿宋_GB2312" w:hAnsi="仿宋_GB2312" w:eastAsia="仿宋_GB2312" w:cs="仿宋_GB2312"/>
                <w:sz w:val="24"/>
                <w:szCs w:val="24"/>
                <w:lang w:eastAsia="zh-CN"/>
              </w:rPr>
              <w:t>；</w:t>
            </w:r>
          </w:p>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2.深圳市安全生产执法信息系统在线巡查：</w:t>
            </w:r>
          </w:p>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（1）在线巡查截图（2张）；</w:t>
            </w:r>
          </w:p>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（2）执法督察函（3月份宝安区）（样稿）；</w:t>
            </w:r>
          </w:p>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3.市应急管理局关于印发《深圳市应急管理局行政执法监督员管理暂行办法》《深圳市应急管理局行政执法监督员工作规则》的通知（深应急〔2019〕207号）。</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90787</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政府部门“过度安监”的改进建议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承办</w:t>
            </w:r>
          </w:p>
        </w:tc>
        <w:tc>
          <w:tcPr>
            <w:tcW w:w="8236" w:type="dxa"/>
            <w:shd w:val="clear" w:color="auto" w:fill="auto"/>
            <w:tcMar>
              <w:top w:w="54" w:type="dxa"/>
              <w:left w:w="144" w:type="dxa"/>
              <w:bottom w:w="54" w:type="dxa"/>
              <w:right w:w="144" w:type="dxa"/>
            </w:tcMar>
            <w:vAlign w:val="center"/>
          </w:tcPr>
          <w:p>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1.市安全监管局印发关于优化安全生产监管方式支持民营经济发展若干措施的通知（深安监管〔2019〕17号）；</w:t>
            </w:r>
          </w:p>
          <w:p>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2.市应急管理局关于报送行政执法三项制度落实情况的函（深应急函〔2019〕357号）。</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90580</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推进建立劳动案件多部门同步立案查处机制</w:t>
            </w:r>
            <w:r>
              <w:rPr>
                <w:rFonts w:hint="eastAsia" w:ascii="仿宋_GB2312" w:hAnsi="仿宋_GB2312" w:eastAsia="仿宋_GB2312" w:cs="仿宋_GB2312"/>
                <w:sz w:val="24"/>
                <w:szCs w:val="24"/>
              </w:rPr>
              <w:t>的建议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汇办</w:t>
            </w:r>
          </w:p>
        </w:tc>
        <w:tc>
          <w:tcPr>
            <w:tcW w:w="8236" w:type="dxa"/>
            <w:shd w:val="clear" w:color="auto" w:fill="auto"/>
            <w:tcMar>
              <w:top w:w="54" w:type="dxa"/>
              <w:left w:w="144" w:type="dxa"/>
              <w:bottom w:w="54" w:type="dxa"/>
              <w:right w:w="144" w:type="dxa"/>
            </w:tcMar>
            <w:vAlign w:val="center"/>
          </w:tcPr>
          <w:p>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1.深圳市市场和质量监督管理委员会关于印发深圳市2018年“双随机 一公开”跨部门联合抽查工作 实施方案的通知（深市质〔2018〕609号）。</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78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50"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代表建议第201</w:t>
            </w:r>
            <w:r>
              <w:rPr>
                <w:rFonts w:hint="eastAsia" w:ascii="仿宋_GB2312" w:hAnsi="仿宋_GB2312" w:eastAsia="仿宋_GB2312" w:cs="仿宋_GB2312"/>
                <w:sz w:val="24"/>
                <w:szCs w:val="24"/>
                <w:lang w:val="en-US" w:eastAsia="zh-CN"/>
              </w:rPr>
              <w:t>0419</w:t>
            </w:r>
            <w:r>
              <w:rPr>
                <w:rFonts w:hint="eastAsia" w:ascii="仿宋_GB2312" w:hAnsi="仿宋_GB2312" w:eastAsia="仿宋_GB2312" w:cs="仿宋_GB2312"/>
                <w:sz w:val="24"/>
                <w:szCs w:val="24"/>
              </w:rPr>
              <w:t>号</w:t>
            </w:r>
          </w:p>
        </w:tc>
        <w:tc>
          <w:tcPr>
            <w:tcW w:w="241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关于</w:t>
            </w:r>
            <w:r>
              <w:rPr>
                <w:rFonts w:hint="eastAsia" w:ascii="仿宋_GB2312" w:hAnsi="仿宋_GB2312" w:eastAsia="仿宋_GB2312" w:cs="仿宋_GB2312"/>
                <w:sz w:val="24"/>
                <w:szCs w:val="24"/>
                <w:lang w:eastAsia="zh-CN"/>
              </w:rPr>
              <w:t>进一步加强运用前沿技术，与校园安全教育进行有效融合的建议</w:t>
            </w:r>
          </w:p>
        </w:tc>
        <w:tc>
          <w:tcPr>
            <w:tcW w:w="1335" w:type="dxa"/>
            <w:shd w:val="clear" w:color="auto" w:fill="auto"/>
            <w:tcMar>
              <w:top w:w="54" w:type="dxa"/>
              <w:left w:w="144" w:type="dxa"/>
              <w:bottom w:w="54" w:type="dxa"/>
              <w:right w:w="144" w:type="dxa"/>
            </w:tcMar>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汇办</w:t>
            </w:r>
          </w:p>
        </w:tc>
        <w:tc>
          <w:tcPr>
            <w:tcW w:w="8236" w:type="dxa"/>
            <w:shd w:val="clear" w:color="auto" w:fill="auto"/>
            <w:tcMar>
              <w:top w:w="54" w:type="dxa"/>
              <w:left w:w="144" w:type="dxa"/>
              <w:bottom w:w="54" w:type="dxa"/>
              <w:right w:w="144" w:type="dxa"/>
            </w:tcMar>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2019年6月16日深圳市安全生产月咨询日活动现场面向市民开展多灾种应急逃生VR体验</w:t>
            </w:r>
            <w:r>
              <w:rPr>
                <w:rFonts w:hint="eastAsia" w:ascii="仿宋_GB2312" w:hAnsi="仿宋_GB2312" w:eastAsia="仿宋_GB2312" w:cs="仿宋_GB2312"/>
                <w:sz w:val="24"/>
                <w:szCs w:val="24"/>
                <w:lang w:eastAsia="zh-CN"/>
              </w:rPr>
              <w:t>图片（</w:t>
            </w:r>
            <w:r>
              <w:rPr>
                <w:rFonts w:hint="eastAsia" w:ascii="仿宋_GB2312" w:hAnsi="仿宋_GB2312" w:eastAsia="仿宋_GB2312" w:cs="仿宋_GB2312"/>
                <w:sz w:val="24"/>
                <w:szCs w:val="24"/>
                <w:lang w:val="en-US" w:eastAsia="zh-CN"/>
              </w:rPr>
              <w:t>2张</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南山区安全教育馆醉酒驾驶VR体验设施</w:t>
            </w:r>
            <w:r>
              <w:rPr>
                <w:rFonts w:hint="eastAsia" w:ascii="仿宋_GB2312" w:hAnsi="仿宋_GB2312" w:eastAsia="仿宋_GB2312" w:cs="仿宋_GB2312"/>
                <w:sz w:val="24"/>
                <w:szCs w:val="24"/>
                <w:lang w:eastAsia="zh-CN"/>
              </w:rPr>
              <w:t>图片；</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深圳地铁13号线工人实训馆里的VR体验设施</w:t>
            </w:r>
            <w:r>
              <w:rPr>
                <w:rFonts w:hint="eastAsia" w:ascii="仿宋_GB2312" w:hAnsi="仿宋_GB2312" w:eastAsia="仿宋_GB2312" w:cs="仿宋_GB2312"/>
                <w:sz w:val="24"/>
                <w:szCs w:val="24"/>
                <w:lang w:eastAsia="zh-CN"/>
              </w:rPr>
              <w:t>图片（</w:t>
            </w:r>
            <w:r>
              <w:rPr>
                <w:rFonts w:hint="eastAsia" w:ascii="仿宋_GB2312" w:hAnsi="仿宋_GB2312" w:eastAsia="仿宋_GB2312" w:cs="仿宋_GB2312"/>
                <w:sz w:val="24"/>
                <w:szCs w:val="24"/>
                <w:lang w:val="en-US" w:eastAsia="zh-CN"/>
              </w:rPr>
              <w:t>2张</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VR沉浸式体验安全施工 深圳地铁13号线工人实训馆开馆（新闻稿）</w:t>
            </w:r>
            <w:r>
              <w:rPr>
                <w:rFonts w:hint="eastAsia" w:ascii="仿宋_GB2312" w:hAnsi="仿宋_GB2312" w:eastAsia="仿宋_GB2312" w:cs="仿宋_GB2312"/>
                <w:sz w:val="24"/>
                <w:szCs w:val="24"/>
                <w:lang w:eastAsia="zh-CN"/>
              </w:rPr>
              <w:t>；</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深圳市安全教育基地VR体验设施</w:t>
            </w:r>
            <w:r>
              <w:rPr>
                <w:rFonts w:hint="eastAsia" w:ascii="仿宋_GB2312" w:hAnsi="仿宋_GB2312" w:eastAsia="仿宋_GB2312" w:cs="仿宋_GB2312"/>
                <w:sz w:val="24"/>
                <w:szCs w:val="24"/>
                <w:lang w:eastAsia="zh-CN"/>
              </w:rPr>
              <w:t>图片。</w:t>
            </w:r>
          </w:p>
        </w:tc>
        <w:tc>
          <w:tcPr>
            <w:tcW w:w="1094" w:type="dxa"/>
            <w:shd w:val="clear" w:color="auto" w:fill="auto"/>
            <w:tcMar>
              <w:top w:w="54" w:type="dxa"/>
              <w:left w:w="144" w:type="dxa"/>
              <w:bottom w:w="54" w:type="dxa"/>
              <w:right w:w="144" w:type="dxa"/>
            </w:tcMar>
            <w:vAlign w:val="center"/>
          </w:tcPr>
          <w:p>
            <w:pPr>
              <w:spacing w:line="240"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见附件</w:t>
            </w:r>
            <w:r>
              <w:rPr>
                <w:rFonts w:hint="eastAsia" w:ascii="仿宋_GB2312" w:hAnsi="仿宋_GB2312" w:eastAsia="仿宋_GB2312" w:cs="仿宋_GB2312"/>
                <w:sz w:val="24"/>
                <w:szCs w:val="24"/>
                <w:lang w:val="en-US" w:eastAsia="zh-CN"/>
              </w:rPr>
              <w:t>10</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D2BDC"/>
    <w:multiLevelType w:val="multilevel"/>
    <w:tmpl w:val="451D2BDC"/>
    <w:lvl w:ilvl="0" w:tentative="0">
      <w:start w:val="1"/>
      <w:numFmt w:val="decimal"/>
      <w:pStyle w:val="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09CA"/>
    <w:rsid w:val="00036FA8"/>
    <w:rsid w:val="00187077"/>
    <w:rsid w:val="001C2BD5"/>
    <w:rsid w:val="002A57F4"/>
    <w:rsid w:val="002D657B"/>
    <w:rsid w:val="003A0FE7"/>
    <w:rsid w:val="003A385B"/>
    <w:rsid w:val="0042351D"/>
    <w:rsid w:val="00694EC8"/>
    <w:rsid w:val="00791273"/>
    <w:rsid w:val="007C3281"/>
    <w:rsid w:val="00866808"/>
    <w:rsid w:val="008C5323"/>
    <w:rsid w:val="009209CA"/>
    <w:rsid w:val="009B4ADF"/>
    <w:rsid w:val="00A335F3"/>
    <w:rsid w:val="00A33B98"/>
    <w:rsid w:val="00BB0485"/>
    <w:rsid w:val="00CE0305"/>
    <w:rsid w:val="00D46F5A"/>
    <w:rsid w:val="00D71252"/>
    <w:rsid w:val="00DB073C"/>
    <w:rsid w:val="00DB3101"/>
    <w:rsid w:val="00DF6C69"/>
    <w:rsid w:val="00E67D81"/>
    <w:rsid w:val="00E83900"/>
    <w:rsid w:val="00EF6896"/>
    <w:rsid w:val="00F62716"/>
    <w:rsid w:val="00FB3021"/>
    <w:rsid w:val="09D8355E"/>
    <w:rsid w:val="0E3A4992"/>
    <w:rsid w:val="0F413623"/>
    <w:rsid w:val="10DF53DE"/>
    <w:rsid w:val="16D42720"/>
    <w:rsid w:val="1D2B74D5"/>
    <w:rsid w:val="20AC457D"/>
    <w:rsid w:val="33602D37"/>
    <w:rsid w:val="3AC9586B"/>
    <w:rsid w:val="439F375D"/>
    <w:rsid w:val="583202EC"/>
    <w:rsid w:val="5C07500D"/>
    <w:rsid w:val="64B00E6F"/>
    <w:rsid w:val="661C4A80"/>
    <w:rsid w:val="68BA2FDA"/>
    <w:rsid w:val="6BDE23FC"/>
    <w:rsid w:val="6D99365C"/>
    <w:rsid w:val="7DAA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 w:type="paragraph" w:customStyle="1" w:styleId="8">
    <w:name w:val="Char"/>
    <w:basedOn w:val="1"/>
    <w:uiPriority w:val="0"/>
    <w:pPr>
      <w:numPr>
        <w:ilvl w:val="0"/>
        <w:numId w:val="1"/>
      </w:numPr>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251</Words>
  <Characters>1436</Characters>
  <Lines>11</Lines>
  <Paragraphs>3</Paragraphs>
  <ScaleCrop>false</ScaleCrop>
  <LinksUpToDate>false</LinksUpToDate>
  <CharactersWithSpaces>1684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2018-09-29T09:31:00Z</dcterms:created>
  <dc:creator>Administrator</dc:creator>
  <cp:lastModifiedBy>黄晶晶</cp:lastModifiedBy>
  <dcterms:modified xsi:type="dcterms:W3CDTF">2019-09-26T09:31:08Z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