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黑体" w:eastAsia="仿宋_GB2312"/>
          <w:sz w:val="32"/>
          <w:szCs w:val="32"/>
        </w:rPr>
      </w:pPr>
      <w:r>
        <w:rPr>
          <w:rFonts w:hint="eastAsia" w:ascii="仿宋_GB2312" w:hAnsi="黑体" w:eastAsia="仿宋_GB2312"/>
          <w:sz w:val="32"/>
          <w:szCs w:val="32"/>
        </w:rPr>
        <w:t>附件</w:t>
      </w:r>
    </w:p>
    <w:p>
      <w:pPr>
        <w:spacing w:line="600" w:lineRule="exact"/>
        <w:ind w:left="208" w:leftChars="99"/>
        <w:jc w:val="center"/>
        <w:rPr>
          <w:rFonts w:hint="eastAsia" w:ascii="方正小标宋简体" w:eastAsia="方正小标宋简体"/>
          <w:sz w:val="44"/>
          <w:szCs w:val="44"/>
        </w:rPr>
      </w:pPr>
      <w:r>
        <w:rPr>
          <w:rFonts w:hint="eastAsia" w:ascii="方正小标宋简体" w:eastAsia="方正小标宋简体"/>
          <w:sz w:val="44"/>
          <w:szCs w:val="44"/>
        </w:rPr>
        <w:t>《深圳市危险化学品安全许可证注销管理规定（征求意见稿）》征求公众意见及</w:t>
      </w:r>
    </w:p>
    <w:p>
      <w:pPr>
        <w:spacing w:line="600" w:lineRule="exact"/>
        <w:ind w:left="208" w:leftChars="99"/>
        <w:jc w:val="center"/>
        <w:rPr>
          <w:rFonts w:hint="eastAsia" w:ascii="方正小标宋简体" w:eastAsia="方正小标宋简体"/>
          <w:sz w:val="44"/>
          <w:szCs w:val="44"/>
        </w:rPr>
      </w:pPr>
      <w:r>
        <w:rPr>
          <w:rFonts w:hint="eastAsia" w:ascii="方正小标宋简体" w:eastAsia="方正小标宋简体"/>
          <w:sz w:val="44"/>
          <w:szCs w:val="44"/>
        </w:rPr>
        <w:t>采纳情况表</w:t>
      </w:r>
    </w:p>
    <w:p>
      <w:pPr>
        <w:spacing w:line="600" w:lineRule="exact"/>
        <w:ind w:left="1598" w:leftChars="304" w:hanging="960" w:hangingChars="300"/>
        <w:rPr>
          <w:rFonts w:hint="eastAsia" w:ascii="仿宋_GB2312" w:eastAsia="仿宋_GB2312"/>
          <w:sz w:val="32"/>
          <w:szCs w:val="32"/>
        </w:rPr>
      </w:pPr>
    </w:p>
    <w:tbl>
      <w:tblPr>
        <w:tblStyle w:val="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6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spacing w:line="600" w:lineRule="exact"/>
              <w:jc w:val="center"/>
              <w:rPr>
                <w:rFonts w:hint="eastAsia" w:ascii="仿宋_GB2312" w:eastAsia="仿宋_GB2312"/>
                <w:b/>
                <w:sz w:val="32"/>
                <w:szCs w:val="32"/>
              </w:rPr>
            </w:pPr>
            <w:r>
              <w:rPr>
                <w:rFonts w:hint="eastAsia" w:ascii="仿宋_GB2312" w:eastAsia="仿宋_GB2312"/>
                <w:b/>
                <w:sz w:val="32"/>
                <w:szCs w:val="32"/>
              </w:rPr>
              <w:t>序号</w:t>
            </w:r>
          </w:p>
        </w:tc>
        <w:tc>
          <w:tcPr>
            <w:tcW w:w="3600" w:type="dxa"/>
            <w:vAlign w:val="top"/>
          </w:tcPr>
          <w:p>
            <w:pPr>
              <w:spacing w:line="600" w:lineRule="exact"/>
              <w:jc w:val="center"/>
              <w:rPr>
                <w:rFonts w:hint="eastAsia" w:ascii="仿宋_GB2312" w:eastAsia="仿宋_GB2312"/>
                <w:b/>
                <w:sz w:val="32"/>
                <w:szCs w:val="32"/>
              </w:rPr>
            </w:pPr>
            <w:r>
              <w:rPr>
                <w:rFonts w:hint="eastAsia" w:ascii="仿宋_GB2312" w:eastAsia="仿宋_GB2312"/>
                <w:b/>
                <w:sz w:val="32"/>
                <w:szCs w:val="32"/>
              </w:rPr>
              <w:t>反馈意见</w:t>
            </w:r>
          </w:p>
        </w:tc>
        <w:tc>
          <w:tcPr>
            <w:tcW w:w="1620" w:type="dxa"/>
            <w:vAlign w:val="top"/>
          </w:tcPr>
          <w:p>
            <w:pPr>
              <w:spacing w:line="600" w:lineRule="exact"/>
              <w:jc w:val="center"/>
              <w:rPr>
                <w:rFonts w:hint="eastAsia" w:ascii="仿宋_GB2312" w:eastAsia="仿宋_GB2312"/>
                <w:b/>
                <w:sz w:val="32"/>
                <w:szCs w:val="32"/>
              </w:rPr>
            </w:pPr>
            <w:r>
              <w:rPr>
                <w:rFonts w:hint="eastAsia" w:ascii="仿宋_GB2312" w:eastAsia="仿宋_GB2312"/>
                <w:b/>
                <w:sz w:val="32"/>
                <w:szCs w:val="32"/>
              </w:rPr>
              <w:t>采纳情况</w:t>
            </w:r>
          </w:p>
        </w:tc>
        <w:tc>
          <w:tcPr>
            <w:tcW w:w="2520" w:type="dxa"/>
            <w:vAlign w:val="top"/>
          </w:tcPr>
          <w:p>
            <w:pPr>
              <w:spacing w:line="600" w:lineRule="exact"/>
              <w:jc w:val="center"/>
              <w:rPr>
                <w:rFonts w:hint="eastAsia" w:ascii="仿宋_GB2312" w:eastAsia="仿宋_GB2312"/>
                <w:b/>
                <w:sz w:val="32"/>
                <w:szCs w:val="32"/>
              </w:rPr>
            </w:pPr>
            <w:r>
              <w:rPr>
                <w:rFonts w:hint="eastAsia" w:ascii="仿宋_GB2312" w:eastAsia="仿宋_GB2312"/>
                <w:b/>
                <w:sz w:val="32"/>
                <w:szCs w:val="32"/>
              </w:rPr>
              <w:t>理由及情况说明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5" w:hRule="atLeast"/>
        </w:trPr>
        <w:tc>
          <w:tcPr>
            <w:tcW w:w="1008" w:type="dxa"/>
            <w:vAlign w:val="center"/>
          </w:tcPr>
          <w:p>
            <w:pPr>
              <w:spacing w:line="600" w:lineRule="exact"/>
              <w:jc w:val="center"/>
              <w:rPr>
                <w:rFonts w:hint="eastAsia" w:ascii="仿宋_GB2312" w:eastAsia="仿宋_GB2312"/>
                <w:sz w:val="24"/>
              </w:rPr>
            </w:pPr>
            <w:r>
              <w:rPr>
                <w:rFonts w:hint="eastAsia" w:ascii="仿宋_GB2312" w:eastAsia="仿宋_GB2312"/>
                <w:sz w:val="24"/>
              </w:rPr>
              <w:t>1</w:t>
            </w:r>
          </w:p>
        </w:tc>
        <w:tc>
          <w:tcPr>
            <w:tcW w:w="3600" w:type="dxa"/>
            <w:vAlign w:val="top"/>
          </w:tcPr>
          <w:p>
            <w:r>
              <w:rPr>
                <w:rFonts w:hint="eastAsia" w:ascii="仿宋_GB2312" w:eastAsia="仿宋_GB2312"/>
                <w:sz w:val="24"/>
              </w:rPr>
              <w:t>关于“第五条 （二）许可证在载明的地址已被收回或被其他单位使用的；”</w:t>
            </w:r>
          </w:p>
          <w:p>
            <w:pPr>
              <w:spacing w:line="400" w:lineRule="exact"/>
              <w:ind w:firstLine="480" w:firstLineChars="200"/>
              <w:rPr>
                <w:rFonts w:hint="eastAsia" w:ascii="仿宋_GB2312" w:eastAsia="仿宋_GB2312"/>
                <w:sz w:val="24"/>
              </w:rPr>
            </w:pPr>
            <w:r>
              <w:rPr>
                <w:rFonts w:hint="eastAsia" w:ascii="仿宋_GB2312" w:eastAsia="仿宋_GB2312"/>
                <w:sz w:val="24"/>
              </w:rPr>
              <w:t>我区在日常执法检查中曾发现持证危险化学品企业地址在不知情的情况下被其他单位注册的情况，也发现持证危险化学品企业地址内有其他企业人员办公的情况，建议明确何种情况属于“被其他单位使用”。</w:t>
            </w:r>
          </w:p>
        </w:tc>
        <w:tc>
          <w:tcPr>
            <w:tcW w:w="1620" w:type="dxa"/>
            <w:vAlign w:val="center"/>
          </w:tcPr>
          <w:p>
            <w:pPr>
              <w:spacing w:line="600" w:lineRule="exact"/>
              <w:jc w:val="center"/>
              <w:rPr>
                <w:rFonts w:hint="eastAsia" w:ascii="仿宋_GB2312" w:eastAsia="仿宋_GB2312"/>
                <w:sz w:val="24"/>
              </w:rPr>
            </w:pPr>
            <w:r>
              <w:rPr>
                <w:rFonts w:hint="eastAsia" w:ascii="仿宋_GB2312" w:eastAsia="仿宋_GB2312"/>
                <w:sz w:val="24"/>
              </w:rPr>
              <w:t>采纳</w:t>
            </w:r>
          </w:p>
        </w:tc>
        <w:tc>
          <w:tcPr>
            <w:tcW w:w="2520" w:type="dxa"/>
            <w:vAlign w:val="center"/>
          </w:tcPr>
          <w:p>
            <w:pPr>
              <w:spacing w:line="600" w:lineRule="exact"/>
              <w:jc w:val="center"/>
              <w:rPr>
                <w:rFonts w:hint="eastAsia" w:ascii="仿宋_GB2312" w:eastAsia="仿宋_GB2312"/>
                <w:sz w:val="24"/>
              </w:rPr>
            </w:pPr>
            <w:r>
              <w:rPr>
                <w:rFonts w:hint="eastAsia" w:ascii="仿宋_GB2312" w:eastAsia="仿宋_GB2312"/>
                <w:sz w:val="24"/>
              </w:rPr>
              <w:t>意见合理，符合实际。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line="600" w:lineRule="exact"/>
              <w:jc w:val="center"/>
              <w:rPr>
                <w:rFonts w:hint="eastAsia" w:ascii="仿宋_GB2312" w:eastAsia="仿宋_GB2312"/>
                <w:sz w:val="24"/>
              </w:rPr>
            </w:pPr>
            <w:r>
              <w:rPr>
                <w:rFonts w:hint="eastAsia" w:ascii="仿宋_GB2312" w:eastAsia="仿宋_GB2312"/>
                <w:sz w:val="24"/>
              </w:rPr>
              <w:t>2</w:t>
            </w:r>
          </w:p>
        </w:tc>
        <w:tc>
          <w:tcPr>
            <w:tcW w:w="3600" w:type="dxa"/>
            <w:vAlign w:val="top"/>
          </w:tcPr>
          <w:p>
            <w:pPr>
              <w:spacing w:line="360" w:lineRule="exact"/>
              <w:ind w:firstLine="480" w:firstLineChars="200"/>
              <w:rPr>
                <w:rFonts w:ascii="仿宋_GB2312" w:eastAsia="仿宋_GB2312"/>
                <w:sz w:val="24"/>
              </w:rPr>
            </w:pPr>
            <w:r>
              <w:rPr>
                <w:rFonts w:hint="eastAsia" w:ascii="仿宋_GB2312" w:eastAsia="仿宋_GB2312"/>
                <w:sz w:val="24"/>
              </w:rPr>
              <w:t>关于“第五条 （三）各级应急管理部门按照许可证载明的地址连续6个月无法联络到被许可单位的。”</w:t>
            </w:r>
          </w:p>
          <w:p>
            <w:pPr>
              <w:spacing w:line="360" w:lineRule="exact"/>
              <w:ind w:firstLine="480" w:firstLineChars="200"/>
              <w:rPr>
                <w:rFonts w:ascii="仿宋_GB2312" w:eastAsia="仿宋_GB2312"/>
                <w:sz w:val="24"/>
              </w:rPr>
            </w:pPr>
            <w:r>
              <w:rPr>
                <w:rFonts w:hint="eastAsia" w:ascii="仿宋_GB2312" w:eastAsia="仿宋_GB2312"/>
                <w:sz w:val="24"/>
              </w:rPr>
              <w:t>1、建议明确各级应急管理部门是否包括街道应急管理部；</w:t>
            </w:r>
          </w:p>
          <w:p>
            <w:pPr>
              <w:spacing w:line="360" w:lineRule="exact"/>
              <w:ind w:firstLine="480" w:firstLineChars="200"/>
              <w:rPr>
                <w:rFonts w:ascii="仿宋_GB2312" w:eastAsia="仿宋_GB2312"/>
                <w:sz w:val="24"/>
              </w:rPr>
            </w:pPr>
            <w:r>
              <w:rPr>
                <w:rFonts w:hint="eastAsia" w:ascii="仿宋_GB2312" w:eastAsia="仿宋_GB2312"/>
                <w:sz w:val="24"/>
              </w:rPr>
              <w:t>2、危险化学品行政许可的有效期为3年，设置6个月无法联络到被许可单位的期限未免过长，建议缩短上述时间；</w:t>
            </w:r>
          </w:p>
          <w:p>
            <w:pPr>
              <w:spacing w:line="360" w:lineRule="exact"/>
              <w:ind w:firstLine="480" w:firstLineChars="200"/>
              <w:rPr>
                <w:rFonts w:ascii="仿宋_GB2312" w:eastAsia="仿宋_GB2312"/>
                <w:sz w:val="24"/>
              </w:rPr>
            </w:pPr>
            <w:r>
              <w:rPr>
                <w:rFonts w:hint="eastAsia" w:ascii="仿宋_GB2312" w:eastAsia="仿宋_GB2312"/>
                <w:sz w:val="24"/>
              </w:rPr>
              <w:t>3、我区在对危险化学品企业的日常监管工作还遇到无法联络企业任何人员的情况，建议增加“按照企业登记的有关人员无法联络到被许可单位的”；</w:t>
            </w:r>
          </w:p>
          <w:p>
            <w:pPr>
              <w:spacing w:line="360" w:lineRule="exact"/>
              <w:ind w:firstLine="480" w:firstLineChars="200"/>
              <w:rPr>
                <w:rFonts w:hint="eastAsia" w:ascii="仿宋_GB2312" w:eastAsia="仿宋_GB2312"/>
                <w:sz w:val="24"/>
              </w:rPr>
            </w:pPr>
            <w:r>
              <w:rPr>
                <w:rFonts w:hint="eastAsia" w:ascii="仿宋_GB2312" w:eastAsia="仿宋_GB2312"/>
                <w:sz w:val="24"/>
              </w:rPr>
              <w:t>4、建议统一《同意注销通知书》的格式。</w:t>
            </w:r>
          </w:p>
        </w:tc>
        <w:tc>
          <w:tcPr>
            <w:tcW w:w="1620" w:type="dxa"/>
            <w:vAlign w:val="center"/>
          </w:tcPr>
          <w:p>
            <w:pPr>
              <w:spacing w:line="600" w:lineRule="exact"/>
              <w:jc w:val="center"/>
              <w:rPr>
                <w:rFonts w:hint="eastAsia" w:ascii="仿宋_GB2312" w:eastAsia="仿宋_GB2312"/>
                <w:sz w:val="24"/>
              </w:rPr>
            </w:pPr>
            <w:r>
              <w:rPr>
                <w:rFonts w:hint="eastAsia" w:ascii="仿宋_GB2312" w:eastAsia="仿宋_GB2312"/>
                <w:sz w:val="24"/>
              </w:rPr>
              <w:t>部分采纳</w:t>
            </w:r>
          </w:p>
        </w:tc>
        <w:tc>
          <w:tcPr>
            <w:tcW w:w="2520" w:type="dxa"/>
            <w:vAlign w:val="top"/>
          </w:tcPr>
          <w:p/>
          <w:p>
            <w:pPr>
              <w:spacing w:line="400" w:lineRule="exact"/>
              <w:ind w:firstLine="480" w:firstLineChars="200"/>
              <w:rPr>
                <w:rFonts w:hint="eastAsia" w:ascii="仿宋_GB2312" w:eastAsia="仿宋_GB2312"/>
                <w:sz w:val="24"/>
              </w:rPr>
            </w:pPr>
            <w:r>
              <w:rPr>
                <w:rFonts w:hint="eastAsia" w:ascii="仿宋_GB2312" w:eastAsia="仿宋_GB2312"/>
                <w:sz w:val="24"/>
              </w:rPr>
              <w:t>1.经研究，连续6个月内无法联络到被许可单位在实践中难以取证认定，此类事项属于对持证企业的事中事后监管范畴，不宜作为许可证注销的情形，拟将此项删除,故反馈意见已无需采纳.</w:t>
            </w:r>
          </w:p>
          <w:p>
            <w:pPr>
              <w:spacing w:line="400" w:lineRule="exact"/>
              <w:ind w:firstLine="480" w:firstLineChars="200"/>
              <w:rPr>
                <w:rFonts w:hint="eastAsia" w:ascii="仿宋_GB2312" w:eastAsia="仿宋_GB2312"/>
                <w:sz w:val="24"/>
              </w:rPr>
            </w:pPr>
            <w:r>
              <w:rPr>
                <w:rFonts w:hint="eastAsia" w:ascii="仿宋_GB2312" w:eastAsia="仿宋_GB2312"/>
                <w:sz w:val="24"/>
              </w:rPr>
              <w:t>2.统一《同意注销通知书》的格式很有必要，采纳该部分意见,后续将另行制定。</w:t>
            </w:r>
          </w:p>
          <w:p>
            <w:pPr>
              <w:spacing w:line="6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1008" w:type="dxa"/>
            <w:vAlign w:val="center"/>
          </w:tcPr>
          <w:p>
            <w:pPr>
              <w:spacing w:line="600" w:lineRule="exact"/>
              <w:jc w:val="center"/>
              <w:rPr>
                <w:rFonts w:hint="eastAsia" w:ascii="仿宋_GB2312" w:eastAsia="仿宋_GB2312"/>
                <w:sz w:val="24"/>
              </w:rPr>
            </w:pPr>
            <w:r>
              <w:rPr>
                <w:rFonts w:hint="eastAsia" w:ascii="仿宋_GB2312" w:eastAsia="仿宋_GB2312"/>
                <w:sz w:val="24"/>
              </w:rPr>
              <w:t>3</w:t>
            </w:r>
          </w:p>
        </w:tc>
        <w:tc>
          <w:tcPr>
            <w:tcW w:w="3600" w:type="dxa"/>
            <w:vAlign w:val="top"/>
          </w:tcPr>
          <w:p>
            <w:pPr>
              <w:spacing w:line="400" w:lineRule="exact"/>
              <w:ind w:firstLine="480" w:firstLineChars="200"/>
              <w:rPr>
                <w:rFonts w:hint="eastAsia" w:ascii="仿宋_GB2312" w:eastAsia="仿宋_GB2312"/>
                <w:sz w:val="24"/>
              </w:rPr>
            </w:pPr>
            <w:r>
              <w:rPr>
                <w:rFonts w:hint="eastAsia" w:ascii="仿宋_GB2312" w:eastAsia="仿宋_GB2312"/>
                <w:sz w:val="24"/>
              </w:rPr>
              <w:t>行政许可有效期届满未延续的，建议不需要由行政机关办理注销手续，而视为自动注销，并由行政机关对社会统一公告。</w:t>
            </w:r>
          </w:p>
        </w:tc>
        <w:tc>
          <w:tcPr>
            <w:tcW w:w="1620" w:type="dxa"/>
            <w:vAlign w:val="center"/>
          </w:tcPr>
          <w:p>
            <w:pPr>
              <w:spacing w:line="600" w:lineRule="exact"/>
              <w:jc w:val="center"/>
              <w:rPr>
                <w:rFonts w:hint="eastAsia" w:ascii="仿宋_GB2312" w:eastAsia="仿宋_GB2312"/>
                <w:sz w:val="24"/>
              </w:rPr>
            </w:pPr>
            <w:r>
              <w:rPr>
                <w:rFonts w:hint="eastAsia" w:ascii="仿宋_GB2312" w:eastAsia="仿宋_GB2312"/>
                <w:sz w:val="24"/>
              </w:rPr>
              <w:t>采纳</w:t>
            </w:r>
          </w:p>
        </w:tc>
        <w:tc>
          <w:tcPr>
            <w:tcW w:w="2520" w:type="dxa"/>
            <w:vAlign w:val="center"/>
          </w:tcPr>
          <w:p>
            <w:pPr>
              <w:spacing w:line="360" w:lineRule="exact"/>
              <w:rPr>
                <w:rFonts w:hint="eastAsia" w:ascii="仿宋_GB2312" w:eastAsia="仿宋_GB2312"/>
                <w:sz w:val="24"/>
              </w:rPr>
            </w:pPr>
          </w:p>
          <w:p>
            <w:pPr>
              <w:spacing w:line="360" w:lineRule="exact"/>
              <w:rPr>
                <w:rFonts w:hint="eastAsia" w:ascii="仿宋_GB2312" w:eastAsia="仿宋_GB2312"/>
                <w:sz w:val="24"/>
              </w:rPr>
            </w:pPr>
            <w:r>
              <w:rPr>
                <w:rFonts w:hint="eastAsia" w:ascii="仿宋_GB2312" w:eastAsia="仿宋_GB2312"/>
                <w:sz w:val="24"/>
              </w:rPr>
              <w:t>意见合理，符合实际。</w:t>
            </w:r>
          </w:p>
          <w:p>
            <w:pPr>
              <w:spacing w:line="6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line="600" w:lineRule="exact"/>
              <w:jc w:val="center"/>
              <w:rPr>
                <w:rFonts w:hint="eastAsia" w:ascii="仿宋_GB2312" w:eastAsia="仿宋_GB2312"/>
                <w:sz w:val="24"/>
              </w:rPr>
            </w:pPr>
            <w:r>
              <w:rPr>
                <w:rFonts w:hint="eastAsia" w:ascii="仿宋_GB2312" w:eastAsia="仿宋_GB2312"/>
                <w:sz w:val="24"/>
              </w:rPr>
              <w:t>4</w:t>
            </w:r>
          </w:p>
        </w:tc>
        <w:tc>
          <w:tcPr>
            <w:tcW w:w="3600" w:type="dxa"/>
            <w:vAlign w:val="top"/>
          </w:tcPr>
          <w:p>
            <w:pPr>
              <w:spacing w:line="400" w:lineRule="exact"/>
              <w:ind w:firstLine="480" w:firstLineChars="200"/>
              <w:rPr>
                <w:rFonts w:hint="eastAsia" w:ascii="仿宋_GB2312" w:eastAsia="仿宋_GB2312"/>
                <w:sz w:val="24"/>
              </w:rPr>
            </w:pPr>
            <w:r>
              <w:rPr>
                <w:rFonts w:hint="eastAsia" w:ascii="仿宋_GB2312" w:hAnsi="仿宋_GB2312" w:eastAsia="仿宋_GB2312" w:cs="仿宋_GB2312"/>
                <w:sz w:val="24"/>
              </w:rPr>
              <w:t>“各级应急管理部门按照许可证载明的地址连续6个月无法联络到被许可单位的”，此项无具体量化标准，不便于执行。建议改为“自行政机关颁发许可证之日起，60日内未在深圳市安全管理信息系统注册并完善基本信息的，或经查，连续两个季度未在信息系统开展自查自报的，应当视为已终止危险化学品行政许可范围内活动”。</w:t>
            </w:r>
          </w:p>
        </w:tc>
        <w:tc>
          <w:tcPr>
            <w:tcW w:w="1620" w:type="dxa"/>
            <w:vAlign w:val="center"/>
          </w:tcPr>
          <w:p>
            <w:pPr>
              <w:spacing w:line="600" w:lineRule="exact"/>
              <w:jc w:val="center"/>
              <w:rPr>
                <w:rFonts w:hint="eastAsia" w:ascii="仿宋_GB2312" w:eastAsia="仿宋_GB2312"/>
                <w:sz w:val="32"/>
                <w:szCs w:val="32"/>
              </w:rPr>
            </w:pPr>
            <w:r>
              <w:rPr>
                <w:rFonts w:hint="eastAsia" w:ascii="仿宋_GB2312" w:eastAsia="仿宋_GB2312"/>
                <w:sz w:val="24"/>
              </w:rPr>
              <w:t>不采纳</w:t>
            </w:r>
          </w:p>
        </w:tc>
        <w:tc>
          <w:tcPr>
            <w:tcW w:w="2520" w:type="dxa"/>
            <w:vAlign w:val="top"/>
          </w:tcPr>
          <w:p>
            <w:pPr>
              <w:spacing w:line="400" w:lineRule="exact"/>
              <w:ind w:firstLine="480" w:firstLineChars="200"/>
              <w:rPr>
                <w:rFonts w:hint="eastAsia" w:ascii="仿宋_GB2312" w:eastAsia="仿宋_GB2312"/>
                <w:sz w:val="24"/>
              </w:rPr>
            </w:pPr>
            <w:r>
              <w:rPr>
                <w:rFonts w:hint="eastAsia" w:ascii="仿宋_GB2312" w:eastAsia="仿宋_GB2312"/>
                <w:sz w:val="24"/>
              </w:rPr>
              <w:t>1.经研究，连续6个月内无法联络到被许可单位在实践中难以取证认定，此类事项属于对持证企业的事中事后监管范畴，不宜作为许可证注销的情形，拟将此项删除。</w:t>
            </w:r>
          </w:p>
          <w:p>
            <w:r>
              <w:rPr>
                <w:rFonts w:hint="eastAsia" w:ascii="仿宋_GB2312" w:hAnsi="仿宋_GB2312" w:eastAsia="仿宋_GB2312" w:cs="仿宋_GB2312"/>
                <w:sz w:val="24"/>
              </w:rPr>
              <w:t>2.在信息系统注册并完善基本信息以及开展隐患自查自报属于企业管理及行政执法范畴，不宜作为许可证注销的情形。</w:t>
            </w:r>
          </w:p>
          <w:p>
            <w:pPr>
              <w:spacing w:line="36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line="600" w:lineRule="exact"/>
              <w:jc w:val="center"/>
              <w:rPr>
                <w:rFonts w:hint="eastAsia" w:ascii="仿宋_GB2312" w:eastAsia="仿宋_GB2312"/>
                <w:sz w:val="24"/>
              </w:rPr>
            </w:pPr>
            <w:r>
              <w:rPr>
                <w:rFonts w:hint="eastAsia" w:ascii="仿宋_GB2312" w:eastAsia="仿宋_GB2312"/>
                <w:sz w:val="24"/>
              </w:rPr>
              <w:t>5</w:t>
            </w:r>
          </w:p>
        </w:tc>
        <w:tc>
          <w:tcPr>
            <w:tcW w:w="3600" w:type="dxa"/>
            <w:vAlign w:val="top"/>
          </w:tcPr>
          <w:p>
            <w:pPr>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建议第五条“应当视为已终止危险化学品行政许可范围内活动”的情形，建议增加一种情形：自行政机关开展执法检查、巡查之日起，回溯6个月内未开展行政许可证书内载明的生产经营行为的（以生产或销售台账及发票为认定依据）。</w:t>
            </w:r>
          </w:p>
        </w:tc>
        <w:tc>
          <w:tcPr>
            <w:tcW w:w="1620" w:type="dxa"/>
            <w:vAlign w:val="center"/>
          </w:tcPr>
          <w:p>
            <w:pPr>
              <w:spacing w:line="600" w:lineRule="exact"/>
              <w:jc w:val="center"/>
              <w:rPr>
                <w:rFonts w:hint="eastAsia" w:ascii="仿宋_GB2312" w:eastAsia="仿宋_GB2312"/>
                <w:sz w:val="32"/>
                <w:szCs w:val="32"/>
              </w:rPr>
            </w:pPr>
            <w:r>
              <w:rPr>
                <w:rFonts w:hint="eastAsia" w:ascii="仿宋_GB2312" w:eastAsia="仿宋_GB2312"/>
                <w:sz w:val="24"/>
              </w:rPr>
              <w:t>不采纳</w:t>
            </w:r>
          </w:p>
        </w:tc>
        <w:tc>
          <w:tcPr>
            <w:tcW w:w="2520" w:type="dxa"/>
            <w:vAlign w:val="top"/>
          </w:tcPr>
          <w:p>
            <w:pPr>
              <w:spacing w:line="360" w:lineRule="exact"/>
              <w:ind w:firstLine="480" w:firstLineChars="200"/>
              <w:rPr>
                <w:rFonts w:hint="eastAsia" w:ascii="仿宋_GB2312" w:eastAsia="仿宋_GB2312"/>
                <w:sz w:val="32"/>
                <w:szCs w:val="32"/>
              </w:rPr>
            </w:pPr>
            <w:r>
              <w:rPr>
                <w:rFonts w:hint="eastAsia" w:ascii="仿宋_GB2312" w:hAnsi="仿宋_GB2312" w:eastAsia="仿宋_GB2312" w:cs="仿宋_GB2312"/>
                <w:sz w:val="24"/>
              </w:rPr>
              <w:t>企业对本单位生产经营活动有自主权，应当加强对持证企业的管理，督促其落实安全生产主体责任，并及时清理僵尸企业，但不宜将未开展特定的生产经营行为作为许可证注销的情形。</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C5919"/>
    <w:rsid w:val="40AC5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2019-11-25T07:28:00Z</dcterms:created>
  <dc:creator>ys3</dc:creator>
  <cp:lastModifiedBy>ys3</cp:lastModifiedBy>
  <dcterms:modified xsi:type="dcterms:W3CDTF">2019-11-25T07:29:07Z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