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D1" w:rsidRDefault="005B16D1">
      <w:pPr>
        <w:spacing w:line="600" w:lineRule="exact"/>
        <w:jc w:val="center"/>
        <w:rPr>
          <w:rFonts w:ascii="方正小标宋简体" w:eastAsia="方正小标宋简体" w:cs="Times New Roman"/>
          <w:sz w:val="44"/>
          <w:szCs w:val="44"/>
        </w:rPr>
      </w:pPr>
    </w:p>
    <w:p w:rsidR="005B16D1" w:rsidRDefault="005B16D1">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《危险化学品储存柜安全技术管理规范</w:t>
      </w:r>
    </w:p>
    <w:p w:rsidR="005B16D1" w:rsidRDefault="005B16D1">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（征求意见稿）》编制说明</w:t>
      </w:r>
    </w:p>
    <w:p w:rsidR="005B16D1" w:rsidRDefault="005B16D1">
      <w:pPr>
        <w:spacing w:line="600" w:lineRule="exact"/>
        <w:jc w:val="center"/>
        <w:rPr>
          <w:rFonts w:eastAsia="黑体" w:cs="Times New Roman"/>
          <w:b/>
          <w:bCs/>
          <w:sz w:val="32"/>
          <w:szCs w:val="32"/>
        </w:rPr>
      </w:pPr>
    </w:p>
    <w:p w:rsidR="005B16D1" w:rsidRDefault="005B16D1">
      <w:pPr>
        <w:pStyle w:val="ListParagraph"/>
        <w:numPr>
          <w:ilvl w:val="0"/>
          <w:numId w:val="5"/>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工作简况</w:t>
      </w:r>
    </w:p>
    <w:p w:rsidR="005B16D1" w:rsidRDefault="005B16D1">
      <w:pPr>
        <w:pStyle w:val="ListParagraph"/>
        <w:numPr>
          <w:ilvl w:val="0"/>
          <w:numId w:val="6"/>
        </w:numPr>
        <w:spacing w:line="600" w:lineRule="exact"/>
        <w:ind w:firstLineChars="0"/>
        <w:rPr>
          <w:rFonts w:ascii="楷体_GB2312" w:eastAsia="楷体_GB2312" w:cs="Times New Roman"/>
          <w:sz w:val="32"/>
          <w:szCs w:val="32"/>
        </w:rPr>
      </w:pPr>
      <w:r>
        <w:rPr>
          <w:rFonts w:ascii="楷体_GB2312" w:eastAsia="楷体_GB2312" w:cs="楷体_GB2312" w:hint="eastAsia"/>
          <w:sz w:val="32"/>
          <w:szCs w:val="32"/>
        </w:rPr>
        <w:t>任务来源</w:t>
      </w:r>
    </w:p>
    <w:p w:rsidR="005B16D1" w:rsidRDefault="005B16D1" w:rsidP="000D181A">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根据《深圳市市场和质量监督管理委员会关于下达</w:t>
      </w:r>
      <w:r>
        <w:rPr>
          <w:rFonts w:ascii="仿宋_GB2312" w:eastAsia="仿宋_GB2312" w:cs="仿宋_GB2312"/>
          <w:sz w:val="32"/>
          <w:szCs w:val="32"/>
        </w:rPr>
        <w:t>2018</w:t>
      </w:r>
      <w:r>
        <w:rPr>
          <w:rFonts w:ascii="仿宋_GB2312" w:eastAsia="仿宋_GB2312" w:cs="仿宋_GB2312" w:hint="eastAsia"/>
          <w:sz w:val="32"/>
          <w:szCs w:val="32"/>
        </w:rPr>
        <w:t>年第二批深圳市地方标准计划项目任务的通知》（深市质〔</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515</w:t>
      </w:r>
      <w:r>
        <w:rPr>
          <w:rFonts w:ascii="仿宋_GB2312" w:eastAsia="仿宋_GB2312" w:cs="仿宋_GB2312" w:hint="eastAsia"/>
          <w:sz w:val="32"/>
          <w:szCs w:val="32"/>
        </w:rPr>
        <w:t>号），本标准于</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17</w:t>
      </w:r>
      <w:r>
        <w:rPr>
          <w:rFonts w:ascii="仿宋_GB2312" w:eastAsia="仿宋_GB2312" w:cs="仿宋_GB2312" w:hint="eastAsia"/>
          <w:sz w:val="32"/>
          <w:szCs w:val="32"/>
        </w:rPr>
        <w:t>日获批，立项名称为《危险化学品及化学品废弃物存储设备安全管理规范》。结合本标准涉及对象的实际情况，参照《储存柜（易燃</w:t>
      </w:r>
      <w:r>
        <w:rPr>
          <w:rFonts w:ascii="仿宋_GB2312" w:eastAsia="仿宋_GB2312" w:cs="仿宋_GB2312"/>
          <w:sz w:val="32"/>
          <w:szCs w:val="32"/>
        </w:rPr>
        <w:t>AMD</w:t>
      </w:r>
      <w:r>
        <w:rPr>
          <w:rFonts w:ascii="仿宋_GB2312" w:eastAsia="仿宋_GB2312" w:cs="仿宋_GB2312" w:hint="eastAsia"/>
          <w:sz w:val="32"/>
          <w:szCs w:val="32"/>
        </w:rPr>
        <w:t>易燃液体）》（</w:t>
      </w:r>
      <w:r>
        <w:rPr>
          <w:rFonts w:ascii="仿宋_GB2312" w:eastAsia="仿宋_GB2312" w:cs="仿宋_GB2312"/>
          <w:sz w:val="32"/>
          <w:szCs w:val="32"/>
        </w:rPr>
        <w:t>FM 6050-2016</w:t>
      </w:r>
      <w:r>
        <w:rPr>
          <w:rFonts w:ascii="仿宋_GB2312" w:eastAsia="仿宋_GB2312" w:cs="仿宋_GB2312" w:hint="eastAsia"/>
          <w:sz w:val="32"/>
          <w:szCs w:val="32"/>
        </w:rPr>
        <w:t>）等文献，起草小组建议将标准名称改为《危险化学品储存柜安全技术管理规范》，并由市应急管理局向市市场监管局申请更名。</w:t>
      </w:r>
    </w:p>
    <w:p w:rsidR="005B16D1" w:rsidRDefault="005B16D1" w:rsidP="000D181A">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（二）起草单位</w:t>
      </w:r>
    </w:p>
    <w:p w:rsidR="005B16D1" w:rsidRDefault="005B16D1" w:rsidP="000D181A">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本标准行业主管部门为深圳市应急管理局，由深圳市危险化学品行业协会负责牵头组织标准的制定工作，深圳市世和安全技术咨询有限公司、深圳市标准技术研究院、深圳市质量检验协会、深圳市城市公共安全技术研究院等单位参与起草。</w:t>
      </w:r>
    </w:p>
    <w:p w:rsidR="005B16D1" w:rsidRDefault="005B16D1">
      <w:pPr>
        <w:pStyle w:val="ListParagraph"/>
        <w:numPr>
          <w:ilvl w:val="0"/>
          <w:numId w:val="5"/>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必要性和意义</w:t>
      </w:r>
    </w:p>
    <w:p w:rsidR="005B16D1" w:rsidRDefault="005B16D1" w:rsidP="000D181A">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危险化学品生产、经营和使用涉及化工、医药、教育、医疗、纺织、冶金、汽车、电子、建筑、印刷、水处理、航空航天等各个领域。</w:t>
      </w:r>
      <w:r>
        <w:rPr>
          <w:rFonts w:ascii="仿宋_GB2312" w:eastAsia="仿宋_GB2312" w:cs="仿宋_GB2312" w:hint="eastAsia"/>
          <w:color w:val="000000"/>
          <w:sz w:val="32"/>
          <w:szCs w:val="32"/>
        </w:rPr>
        <w:t>据初步统计，我市共有危险化学品生产、经营企业及使用危险化学品的工贸企业</w:t>
      </w:r>
      <w:r>
        <w:rPr>
          <w:rFonts w:ascii="仿宋_GB2312" w:eastAsia="仿宋_GB2312" w:cs="仿宋_GB2312"/>
          <w:color w:val="000000"/>
          <w:sz w:val="32"/>
          <w:szCs w:val="32"/>
        </w:rPr>
        <w:t>16000</w:t>
      </w:r>
      <w:r>
        <w:rPr>
          <w:rFonts w:ascii="仿宋_GB2312" w:eastAsia="仿宋_GB2312" w:cs="仿宋_GB2312" w:hint="eastAsia"/>
          <w:color w:val="000000"/>
          <w:sz w:val="32"/>
          <w:szCs w:val="32"/>
        </w:rPr>
        <w:t>余家</w:t>
      </w:r>
      <w:r>
        <w:rPr>
          <w:rFonts w:ascii="仿宋_GB2312" w:eastAsia="仿宋_GB2312" w:cs="仿宋_GB2312" w:hint="eastAsia"/>
          <w:sz w:val="32"/>
          <w:szCs w:val="32"/>
        </w:rPr>
        <w:t>，</w:t>
      </w:r>
      <w:r>
        <w:rPr>
          <w:rFonts w:ascii="仿宋_GB2312" w:eastAsia="仿宋_GB2312" w:cs="仿宋_GB2312" w:hint="eastAsia"/>
          <w:color w:val="000000"/>
          <w:sz w:val="32"/>
          <w:szCs w:val="32"/>
        </w:rPr>
        <w:t>各类企业危险化学品储存设备水平参差不齐，属于我市危险化学品安全监管工作的薄弱环节，</w:t>
      </w:r>
      <w:r>
        <w:rPr>
          <w:rFonts w:ascii="仿宋_GB2312" w:eastAsia="仿宋_GB2312" w:cs="仿宋_GB2312" w:hint="eastAsia"/>
          <w:sz w:val="32"/>
          <w:szCs w:val="32"/>
        </w:rPr>
        <w:t>因此，进一步规范危险化学品的安全管理十分重要。</w:t>
      </w:r>
    </w:p>
    <w:p w:rsidR="005B16D1" w:rsidRDefault="005B16D1" w:rsidP="000D181A">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三、主要起草过程</w:t>
      </w:r>
    </w:p>
    <w:p w:rsidR="005B16D1" w:rsidRDefault="005B16D1" w:rsidP="000D181A">
      <w:pPr>
        <w:spacing w:line="600" w:lineRule="exact"/>
        <w:ind w:firstLineChars="200" w:firstLine="31680"/>
        <w:rPr>
          <w:rFonts w:ascii="仿宋_GB2312" w:eastAsia="仿宋_GB2312" w:hAnsi="宋体" w:cs="Times New Roman"/>
          <w:sz w:val="32"/>
          <w:szCs w:val="32"/>
        </w:rPr>
      </w:pPr>
      <w:r>
        <w:rPr>
          <w:rFonts w:ascii="仿宋_GB2312" w:eastAsia="仿宋_GB2312" w:cs="仿宋_GB2312" w:hint="eastAsia"/>
          <w:sz w:val="32"/>
          <w:szCs w:val="32"/>
        </w:rPr>
        <w:t>原深圳市市场和质量监督管理委员会于</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下达了地方标准《危险化学品及化学品废弃物存储设备安全管理规范》的制定计划，在深圳市应急管理局指导下，确定由深圳市危险化学品行业协会、深圳市世和安全技术咨询有限公司和深圳市城市公共安全技术研究院单位组成联合工作组，开展标准的编制工作。</w:t>
      </w:r>
    </w:p>
    <w:p w:rsidR="005B16D1" w:rsidRDefault="005B16D1" w:rsidP="000D181A">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深圳市危险化学品行业协会、深圳市世和安全技术咨询有限公司和深圳市城市公共安全技术研究院</w:t>
      </w:r>
      <w:r>
        <w:rPr>
          <w:rFonts w:ascii="仿宋_GB2312" w:eastAsia="仿宋_GB2312" w:hAnsi="宋体" w:cs="仿宋_GB2312" w:hint="eastAsia"/>
          <w:sz w:val="32"/>
          <w:szCs w:val="32"/>
        </w:rPr>
        <w:t>召开了多次会议，对标准的术内容进行了充分的讨论。此外，还多次通过邮件和电话与</w:t>
      </w:r>
      <w:r>
        <w:rPr>
          <w:rFonts w:ascii="仿宋_GB2312" w:eastAsia="仿宋_GB2312" w:cs="仿宋_GB2312" w:hint="eastAsia"/>
          <w:sz w:val="32"/>
          <w:szCs w:val="32"/>
        </w:rPr>
        <w:t>杰斯瑞特安全科技（无锡）有限公司、上海西斯贝尔工业科技有限公司、德国德堡公司、上海众御实业有限公司、苏州欧利雅安全装备有限公司、江苏君源环保科技有限公司</w:t>
      </w:r>
      <w:r>
        <w:rPr>
          <w:rFonts w:ascii="仿宋_GB2312" w:eastAsia="仿宋_GB2312" w:hAnsi="宋体" w:cs="仿宋_GB2312" w:hint="eastAsia"/>
          <w:sz w:val="32"/>
          <w:szCs w:val="32"/>
        </w:rPr>
        <w:t>等相关企业进行沟通，就标准中涉及的重点内容进行了全面、深入的调研，最终形成标准征求意见稿。</w:t>
      </w:r>
    </w:p>
    <w:p w:rsidR="005B16D1" w:rsidRDefault="005B16D1">
      <w:pPr>
        <w:pStyle w:val="ListParagraph"/>
        <w:numPr>
          <w:ilvl w:val="0"/>
          <w:numId w:val="7"/>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制定标准的原则和依据</w:t>
      </w:r>
    </w:p>
    <w:p w:rsidR="005B16D1" w:rsidRDefault="005B16D1" w:rsidP="000D181A">
      <w:pPr>
        <w:spacing w:line="600" w:lineRule="exact"/>
        <w:ind w:firstLineChars="200" w:firstLine="31680"/>
        <w:rPr>
          <w:rFonts w:ascii="仿宋_GB2312" w:eastAsia="仿宋_GB2312" w:cs="Times New Roman"/>
          <w:sz w:val="32"/>
          <w:szCs w:val="32"/>
        </w:rPr>
      </w:pPr>
      <w:r w:rsidRPr="005E077E">
        <w:rPr>
          <w:rFonts w:ascii="仿宋_GB2312" w:eastAsia="仿宋_GB2312" w:cs="仿宋_GB2312" w:hint="eastAsia"/>
          <w:sz w:val="32"/>
          <w:szCs w:val="32"/>
        </w:rPr>
        <w:t>本标准按照统一、协调、适用和一致的原则，力求完整、清楚和准确。本标准</w:t>
      </w:r>
      <w:r>
        <w:rPr>
          <w:rFonts w:ascii="仿宋_GB2312" w:eastAsia="仿宋_GB2312" w:cs="仿宋_GB2312" w:hint="eastAsia"/>
          <w:sz w:val="32"/>
          <w:szCs w:val="32"/>
        </w:rPr>
        <w:t>参考了《危险化学品安全管理条例》（国务院令第</w:t>
      </w:r>
      <w:r>
        <w:rPr>
          <w:rFonts w:ascii="仿宋_GB2312" w:eastAsia="仿宋_GB2312" w:cs="仿宋_GB2312"/>
          <w:sz w:val="32"/>
          <w:szCs w:val="32"/>
        </w:rPr>
        <w:t>591</w:t>
      </w:r>
      <w:r>
        <w:rPr>
          <w:rFonts w:ascii="仿宋_GB2312" w:eastAsia="仿宋_GB2312" w:cs="仿宋_GB2312" w:hint="eastAsia"/>
          <w:sz w:val="32"/>
          <w:szCs w:val="32"/>
        </w:rPr>
        <w:t>号）、《常用化学危险品贮存通则》（</w:t>
      </w:r>
      <w:r>
        <w:rPr>
          <w:rFonts w:ascii="仿宋_GB2312" w:eastAsia="仿宋_GB2312" w:cs="仿宋_GB2312"/>
          <w:sz w:val="32"/>
          <w:szCs w:val="32"/>
        </w:rPr>
        <w:t>GB 15603- 1995</w:t>
      </w:r>
      <w:r>
        <w:rPr>
          <w:rFonts w:ascii="仿宋_GB2312" w:eastAsia="仿宋_GB2312" w:cs="仿宋_GB2312" w:hint="eastAsia"/>
          <w:sz w:val="32"/>
          <w:szCs w:val="32"/>
        </w:rPr>
        <w:t>）、《储存柜（易燃</w:t>
      </w:r>
      <w:r>
        <w:rPr>
          <w:rFonts w:ascii="仿宋_GB2312" w:eastAsia="仿宋_GB2312" w:cs="仿宋_GB2312"/>
          <w:sz w:val="32"/>
          <w:szCs w:val="32"/>
        </w:rPr>
        <w:t>AMD</w:t>
      </w:r>
      <w:r>
        <w:rPr>
          <w:rFonts w:ascii="仿宋_GB2312" w:eastAsia="仿宋_GB2312" w:cs="仿宋_GB2312" w:hint="eastAsia"/>
          <w:sz w:val="32"/>
          <w:szCs w:val="32"/>
        </w:rPr>
        <w:t>易燃液体）》（</w:t>
      </w:r>
      <w:r>
        <w:rPr>
          <w:rFonts w:ascii="仿宋_GB2312" w:eastAsia="仿宋_GB2312" w:cs="仿宋_GB2312"/>
          <w:sz w:val="32"/>
          <w:szCs w:val="32"/>
        </w:rPr>
        <w:t>FM 6050-2016</w:t>
      </w:r>
      <w:r>
        <w:rPr>
          <w:rFonts w:ascii="仿宋_GB2312" w:eastAsia="仿宋_GB2312" w:cs="仿宋_GB2312" w:hint="eastAsia"/>
          <w:sz w:val="32"/>
          <w:szCs w:val="32"/>
        </w:rPr>
        <w:t>）、《防火存储柜</w:t>
      </w:r>
      <w:r>
        <w:rPr>
          <w:rFonts w:ascii="仿宋_GB2312" w:eastAsia="仿宋_GB2312" w:cs="仿宋_GB2312"/>
          <w:sz w:val="32"/>
          <w:szCs w:val="32"/>
        </w:rPr>
        <w:t>.</w:t>
      </w:r>
      <w:r>
        <w:rPr>
          <w:rFonts w:ascii="仿宋_GB2312" w:eastAsia="仿宋_GB2312" w:cs="仿宋_GB2312" w:hint="eastAsia"/>
          <w:sz w:val="32"/>
          <w:szCs w:val="32"/>
        </w:rPr>
        <w:t>第</w:t>
      </w:r>
      <w:r>
        <w:rPr>
          <w:rFonts w:ascii="仿宋_GB2312" w:eastAsia="仿宋_GB2312" w:cs="仿宋_GB2312"/>
          <w:sz w:val="32"/>
          <w:szCs w:val="32"/>
        </w:rPr>
        <w:t>1</w:t>
      </w:r>
      <w:r>
        <w:rPr>
          <w:rFonts w:ascii="仿宋_GB2312" w:eastAsia="仿宋_GB2312" w:cs="仿宋_GB2312" w:hint="eastAsia"/>
          <w:sz w:val="32"/>
          <w:szCs w:val="32"/>
        </w:rPr>
        <w:t>部分：易燃液体的安全存储柜》（</w:t>
      </w:r>
      <w:r>
        <w:rPr>
          <w:rFonts w:ascii="仿宋_GB2312" w:eastAsia="仿宋_GB2312" w:cs="仿宋_GB2312"/>
          <w:sz w:val="32"/>
          <w:szCs w:val="32"/>
        </w:rPr>
        <w:t>EN 14470 -1-2004</w:t>
      </w:r>
      <w:r>
        <w:rPr>
          <w:rFonts w:ascii="仿宋_GB2312" w:eastAsia="仿宋_GB2312" w:cs="仿宋_GB2312" w:hint="eastAsia"/>
          <w:sz w:val="32"/>
          <w:szCs w:val="32"/>
        </w:rPr>
        <w:t>）和</w:t>
      </w:r>
      <w:bookmarkStart w:id="0" w:name="OLE_LINK1"/>
      <w:r>
        <w:rPr>
          <w:rFonts w:ascii="仿宋_GB2312" w:eastAsia="仿宋_GB2312" w:cs="仿宋_GB2312" w:hint="eastAsia"/>
          <w:sz w:val="32"/>
          <w:szCs w:val="32"/>
        </w:rPr>
        <w:t>《防火存储柜</w:t>
      </w:r>
      <w:r>
        <w:rPr>
          <w:rFonts w:ascii="仿宋_GB2312" w:eastAsia="仿宋_GB2312" w:cs="仿宋_GB2312"/>
          <w:sz w:val="32"/>
          <w:szCs w:val="32"/>
        </w:rPr>
        <w:t>.</w:t>
      </w:r>
      <w:r>
        <w:rPr>
          <w:rFonts w:ascii="仿宋_GB2312" w:eastAsia="仿宋_GB2312" w:cs="仿宋_GB2312" w:hint="eastAsia"/>
          <w:sz w:val="32"/>
          <w:szCs w:val="32"/>
        </w:rPr>
        <w:t>第</w:t>
      </w:r>
      <w:r>
        <w:rPr>
          <w:rFonts w:ascii="仿宋_GB2312" w:eastAsia="仿宋_GB2312" w:cs="仿宋_GB2312"/>
          <w:sz w:val="32"/>
          <w:szCs w:val="32"/>
        </w:rPr>
        <w:t>2</w:t>
      </w:r>
      <w:r>
        <w:rPr>
          <w:rFonts w:ascii="仿宋_GB2312" w:eastAsia="仿宋_GB2312" w:cs="仿宋_GB2312" w:hint="eastAsia"/>
          <w:sz w:val="32"/>
          <w:szCs w:val="32"/>
        </w:rPr>
        <w:t>部分：增压气瓶的安全柜》（</w:t>
      </w:r>
      <w:r>
        <w:rPr>
          <w:rFonts w:ascii="仿宋_GB2312" w:eastAsia="仿宋_GB2312" w:cs="仿宋_GB2312"/>
          <w:sz w:val="32"/>
          <w:szCs w:val="32"/>
        </w:rPr>
        <w:t>EN14470-2-2006</w:t>
      </w:r>
      <w:r>
        <w:rPr>
          <w:rFonts w:ascii="仿宋_GB2312" w:eastAsia="仿宋_GB2312" w:cs="仿宋_GB2312" w:hint="eastAsia"/>
          <w:sz w:val="32"/>
          <w:szCs w:val="32"/>
        </w:rPr>
        <w:t>）</w:t>
      </w:r>
      <w:bookmarkEnd w:id="0"/>
      <w:r>
        <w:rPr>
          <w:rFonts w:ascii="仿宋_GB2312" w:eastAsia="仿宋_GB2312" w:cs="仿宋_GB2312" w:hint="eastAsia"/>
          <w:sz w:val="32"/>
          <w:szCs w:val="32"/>
        </w:rPr>
        <w:t>等内容</w:t>
      </w:r>
      <w:r>
        <w:rPr>
          <w:rFonts w:ascii="仿宋_GB2312" w:eastAsia="仿宋_GB2312" w:cs="仿宋_GB2312"/>
          <w:sz w:val="32"/>
          <w:szCs w:val="32"/>
        </w:rPr>
        <w:t>,</w:t>
      </w:r>
      <w:r>
        <w:rPr>
          <w:rFonts w:ascii="仿宋_GB2312" w:eastAsia="仿宋_GB2312" w:cs="仿宋_GB2312" w:hint="eastAsia"/>
          <w:sz w:val="32"/>
          <w:szCs w:val="32"/>
        </w:rPr>
        <w:t>具体依据见附表。</w:t>
      </w:r>
    </w:p>
    <w:p w:rsidR="005B16D1" w:rsidRDefault="005B16D1">
      <w:pPr>
        <w:spacing w:line="600" w:lineRule="exact"/>
        <w:ind w:firstLine="480"/>
        <w:jc w:val="left"/>
        <w:rPr>
          <w:rFonts w:ascii="黑体" w:eastAsia="黑体" w:hAnsi="黑体" w:cs="Times New Roman"/>
          <w:sz w:val="32"/>
          <w:szCs w:val="32"/>
        </w:rPr>
      </w:pPr>
      <w:r>
        <w:rPr>
          <w:rFonts w:ascii="黑体" w:eastAsia="黑体" w:hAnsi="黑体" w:cs="黑体" w:hint="eastAsia"/>
          <w:sz w:val="32"/>
          <w:szCs w:val="32"/>
        </w:rPr>
        <w:t>五、主要条款的说明</w:t>
      </w:r>
    </w:p>
    <w:p w:rsidR="005B16D1" w:rsidRPr="0026713E" w:rsidRDefault="005B16D1" w:rsidP="000D181A">
      <w:pPr>
        <w:spacing w:line="600" w:lineRule="exact"/>
        <w:ind w:firstLineChars="200" w:firstLine="31680"/>
        <w:rPr>
          <w:rFonts w:ascii="仿宋_GB2312" w:eastAsia="仿宋_GB2312" w:cs="Times New Roman"/>
          <w:sz w:val="32"/>
          <w:szCs w:val="32"/>
        </w:rPr>
      </w:pPr>
      <w:r w:rsidRPr="0026713E">
        <w:rPr>
          <w:rFonts w:ascii="仿宋_GB2312" w:eastAsia="仿宋_GB2312" w:cs="仿宋_GB2312" w:hint="eastAsia"/>
          <w:sz w:val="32"/>
          <w:szCs w:val="32"/>
        </w:rPr>
        <w:t>本标准共</w:t>
      </w:r>
      <w:r w:rsidRPr="0026713E">
        <w:rPr>
          <w:rFonts w:ascii="仿宋_GB2312" w:eastAsia="仿宋_GB2312" w:cs="仿宋_GB2312"/>
          <w:sz w:val="32"/>
          <w:szCs w:val="32"/>
        </w:rPr>
        <w:t>6</w:t>
      </w:r>
      <w:r w:rsidRPr="0026713E">
        <w:rPr>
          <w:rFonts w:ascii="仿宋_GB2312" w:eastAsia="仿宋_GB2312" w:cs="仿宋_GB2312" w:hint="eastAsia"/>
          <w:sz w:val="32"/>
          <w:szCs w:val="32"/>
        </w:rPr>
        <w:t>个章节，主要内容如下：</w:t>
      </w:r>
    </w:p>
    <w:p w:rsidR="005B16D1" w:rsidRPr="0026713E" w:rsidRDefault="005B16D1" w:rsidP="000D181A">
      <w:pPr>
        <w:spacing w:line="600" w:lineRule="exact"/>
        <w:ind w:firstLineChars="200" w:firstLine="31680"/>
        <w:rPr>
          <w:rFonts w:ascii="仿宋_GB2312" w:eastAsia="仿宋_GB2312" w:cs="Times New Roman"/>
          <w:sz w:val="32"/>
          <w:szCs w:val="32"/>
        </w:rPr>
      </w:pPr>
      <w:r w:rsidRPr="0026713E">
        <w:rPr>
          <w:rFonts w:ascii="仿宋_GB2312" w:eastAsia="仿宋_GB2312" w:cs="仿宋_GB2312" w:hint="eastAsia"/>
          <w:sz w:val="32"/>
          <w:szCs w:val="32"/>
        </w:rPr>
        <w:t>第</w:t>
      </w:r>
      <w:r w:rsidRPr="0026713E">
        <w:rPr>
          <w:rFonts w:ascii="仿宋_GB2312" w:eastAsia="仿宋_GB2312" w:cs="仿宋_GB2312"/>
          <w:sz w:val="32"/>
          <w:szCs w:val="32"/>
        </w:rPr>
        <w:t>1</w:t>
      </w:r>
      <w:r w:rsidRPr="0026713E">
        <w:rPr>
          <w:rFonts w:ascii="仿宋_GB2312" w:eastAsia="仿宋_GB2312" w:cs="仿宋_GB2312" w:hint="eastAsia"/>
          <w:sz w:val="32"/>
          <w:szCs w:val="32"/>
        </w:rPr>
        <w:t>、</w:t>
      </w:r>
      <w:r w:rsidRPr="0026713E">
        <w:rPr>
          <w:rFonts w:ascii="仿宋_GB2312" w:eastAsia="仿宋_GB2312" w:cs="仿宋_GB2312"/>
          <w:sz w:val="32"/>
          <w:szCs w:val="32"/>
        </w:rPr>
        <w:t>2</w:t>
      </w:r>
      <w:r w:rsidRPr="0026713E">
        <w:rPr>
          <w:rFonts w:ascii="仿宋_GB2312" w:eastAsia="仿宋_GB2312" w:cs="仿宋_GB2312" w:hint="eastAsia"/>
          <w:sz w:val="32"/>
          <w:szCs w:val="32"/>
        </w:rPr>
        <w:t>、</w:t>
      </w:r>
      <w:r w:rsidRPr="0026713E">
        <w:rPr>
          <w:rFonts w:ascii="仿宋_GB2312" w:eastAsia="仿宋_GB2312" w:cs="仿宋_GB2312"/>
          <w:sz w:val="32"/>
          <w:szCs w:val="32"/>
        </w:rPr>
        <w:t>3</w:t>
      </w:r>
      <w:r w:rsidRPr="0026713E">
        <w:rPr>
          <w:rFonts w:ascii="仿宋_GB2312" w:eastAsia="仿宋_GB2312" w:cs="仿宋_GB2312" w:hint="eastAsia"/>
          <w:sz w:val="32"/>
          <w:szCs w:val="32"/>
        </w:rPr>
        <w:t>节分别介绍了本标准的适用范围、规范性引用文件、相关术语和定义；</w:t>
      </w:r>
    </w:p>
    <w:p w:rsidR="005B16D1" w:rsidRPr="0026713E" w:rsidRDefault="005B16D1" w:rsidP="000D181A">
      <w:pPr>
        <w:spacing w:line="600" w:lineRule="exact"/>
        <w:ind w:firstLineChars="200" w:firstLine="31680"/>
        <w:rPr>
          <w:rFonts w:ascii="仿宋_GB2312" w:eastAsia="仿宋_GB2312" w:cs="Times New Roman"/>
          <w:sz w:val="32"/>
          <w:szCs w:val="32"/>
        </w:rPr>
      </w:pPr>
      <w:r w:rsidRPr="0026713E">
        <w:rPr>
          <w:rFonts w:ascii="仿宋_GB2312" w:eastAsia="仿宋_GB2312" w:cs="仿宋_GB2312" w:hint="eastAsia"/>
          <w:sz w:val="32"/>
          <w:szCs w:val="32"/>
        </w:rPr>
        <w:t>第</w:t>
      </w:r>
      <w:r w:rsidRPr="0026713E">
        <w:rPr>
          <w:rFonts w:ascii="仿宋_GB2312" w:eastAsia="仿宋_GB2312" w:cs="仿宋_GB2312"/>
          <w:sz w:val="32"/>
          <w:szCs w:val="32"/>
        </w:rPr>
        <w:t>4</w:t>
      </w:r>
      <w:r w:rsidRPr="0026713E">
        <w:rPr>
          <w:rFonts w:ascii="仿宋_GB2312" w:eastAsia="仿宋_GB2312" w:cs="仿宋_GB2312" w:hint="eastAsia"/>
          <w:sz w:val="32"/>
          <w:szCs w:val="32"/>
        </w:rPr>
        <w:t>节对危险化学品储存柜分类、标记、标签和规格提出了要求；</w:t>
      </w:r>
    </w:p>
    <w:p w:rsidR="005B16D1" w:rsidRPr="0026713E" w:rsidRDefault="005B16D1" w:rsidP="000D181A">
      <w:pPr>
        <w:spacing w:line="600" w:lineRule="exact"/>
        <w:ind w:firstLineChars="200" w:firstLine="31680"/>
        <w:rPr>
          <w:rFonts w:ascii="仿宋_GB2312" w:eastAsia="仿宋_GB2312" w:cs="Times New Roman"/>
          <w:sz w:val="32"/>
          <w:szCs w:val="32"/>
        </w:rPr>
      </w:pPr>
      <w:r w:rsidRPr="0026713E">
        <w:rPr>
          <w:rFonts w:ascii="仿宋_GB2312" w:eastAsia="仿宋_GB2312" w:cs="仿宋_GB2312" w:hint="eastAsia"/>
          <w:sz w:val="32"/>
          <w:szCs w:val="32"/>
        </w:rPr>
        <w:t>第</w:t>
      </w:r>
      <w:r w:rsidRPr="0026713E">
        <w:rPr>
          <w:rFonts w:ascii="仿宋_GB2312" w:eastAsia="仿宋_GB2312" w:cs="仿宋_GB2312"/>
          <w:sz w:val="32"/>
          <w:szCs w:val="32"/>
        </w:rPr>
        <w:t>5</w:t>
      </w:r>
      <w:r w:rsidRPr="0026713E">
        <w:rPr>
          <w:rFonts w:ascii="仿宋_GB2312" w:eastAsia="仿宋_GB2312" w:cs="仿宋_GB2312" w:hint="eastAsia"/>
          <w:sz w:val="32"/>
          <w:szCs w:val="32"/>
        </w:rPr>
        <w:t>节</w:t>
      </w:r>
      <w:bookmarkStart w:id="1" w:name="_Toc16664"/>
      <w:bookmarkStart w:id="2" w:name="_Toc6645"/>
      <w:bookmarkStart w:id="3" w:name="_Toc31409"/>
      <w:bookmarkStart w:id="4" w:name="_Toc10950"/>
      <w:r w:rsidRPr="0026713E">
        <w:rPr>
          <w:rFonts w:ascii="仿宋_GB2312" w:eastAsia="仿宋_GB2312" w:cs="仿宋_GB2312" w:hint="eastAsia"/>
          <w:sz w:val="32"/>
          <w:szCs w:val="32"/>
        </w:rPr>
        <w:t>对危险化学品储存柜</w:t>
      </w:r>
      <w:bookmarkStart w:id="5" w:name="_Toc14363930"/>
      <w:r w:rsidRPr="0026713E">
        <w:rPr>
          <w:rFonts w:ascii="仿宋_GB2312" w:eastAsia="仿宋_GB2312" w:cs="仿宋_GB2312" w:hint="eastAsia"/>
          <w:sz w:val="32"/>
          <w:szCs w:val="32"/>
        </w:rPr>
        <w:t>安全技术基本要求</w:t>
      </w:r>
      <w:bookmarkEnd w:id="5"/>
      <w:r w:rsidRPr="0026713E">
        <w:rPr>
          <w:rFonts w:ascii="仿宋_GB2312" w:eastAsia="仿宋_GB2312" w:cs="仿宋_GB2312" w:hint="eastAsia"/>
          <w:sz w:val="32"/>
          <w:szCs w:val="32"/>
        </w:rPr>
        <w:t>进行了规定，包括：</w:t>
      </w:r>
      <w:bookmarkEnd w:id="1"/>
      <w:bookmarkEnd w:id="2"/>
      <w:bookmarkEnd w:id="3"/>
      <w:bookmarkEnd w:id="4"/>
      <w:r w:rsidRPr="0026713E">
        <w:rPr>
          <w:rFonts w:ascii="仿宋_GB2312" w:eastAsia="仿宋_GB2312" w:cs="仿宋_GB2312" w:hint="eastAsia"/>
          <w:sz w:val="32"/>
          <w:szCs w:val="32"/>
        </w:rPr>
        <w:t>外观、工艺装配、材料、结构、容量承重、防火和防静电、通风、防泄漏、锁、溯源、门、</w:t>
      </w:r>
      <w:bookmarkStart w:id="6" w:name="_Toc31059"/>
      <w:r w:rsidRPr="0026713E">
        <w:rPr>
          <w:rFonts w:ascii="仿宋_GB2312" w:eastAsia="仿宋_GB2312" w:cs="仿宋_GB2312" w:hint="eastAsia"/>
          <w:sz w:val="32"/>
          <w:szCs w:val="32"/>
        </w:rPr>
        <w:t>压缩气体气瓶柜设置</w:t>
      </w:r>
      <w:bookmarkEnd w:id="6"/>
      <w:r w:rsidRPr="0026713E">
        <w:rPr>
          <w:rFonts w:ascii="仿宋_GB2312" w:eastAsia="仿宋_GB2312" w:cs="仿宋_GB2312" w:hint="eastAsia"/>
          <w:sz w:val="32"/>
          <w:szCs w:val="32"/>
        </w:rPr>
        <w:t>、产品铭牌等方面；</w:t>
      </w:r>
    </w:p>
    <w:p w:rsidR="005B16D1" w:rsidRPr="0026713E" w:rsidRDefault="005B16D1" w:rsidP="000D181A">
      <w:pPr>
        <w:spacing w:line="600" w:lineRule="exact"/>
        <w:ind w:firstLineChars="200" w:firstLine="31680"/>
        <w:rPr>
          <w:rFonts w:ascii="仿宋_GB2312" w:eastAsia="仿宋_GB2312" w:cs="Times New Roman"/>
          <w:sz w:val="32"/>
          <w:szCs w:val="32"/>
        </w:rPr>
      </w:pPr>
      <w:r w:rsidRPr="0026713E">
        <w:rPr>
          <w:rFonts w:ascii="仿宋_GB2312" w:eastAsia="仿宋_GB2312" w:cs="仿宋_GB2312" w:hint="eastAsia"/>
          <w:sz w:val="32"/>
          <w:szCs w:val="32"/>
        </w:rPr>
        <w:t>第</w:t>
      </w:r>
      <w:r w:rsidRPr="0026713E">
        <w:rPr>
          <w:rFonts w:ascii="仿宋_GB2312" w:eastAsia="仿宋_GB2312" w:cs="仿宋_GB2312"/>
          <w:sz w:val="32"/>
          <w:szCs w:val="32"/>
        </w:rPr>
        <w:t>6</w:t>
      </w:r>
      <w:r w:rsidRPr="0026713E">
        <w:rPr>
          <w:rFonts w:ascii="仿宋_GB2312" w:eastAsia="仿宋_GB2312" w:cs="仿宋_GB2312" w:hint="eastAsia"/>
          <w:sz w:val="32"/>
          <w:szCs w:val="32"/>
        </w:rPr>
        <w:t>节针对安全管理提出要求，包括危险化学品储存柜存放及使用场所应满足的安全管理要求</w:t>
      </w:r>
      <w:bookmarkStart w:id="7" w:name="_Toc22219"/>
      <w:r w:rsidRPr="0026713E">
        <w:rPr>
          <w:rFonts w:ascii="仿宋_GB2312" w:eastAsia="仿宋_GB2312" w:cs="仿宋_GB2312" w:hint="eastAsia"/>
          <w:sz w:val="32"/>
          <w:szCs w:val="32"/>
        </w:rPr>
        <w:t>、危险化学品储存柜</w:t>
      </w:r>
      <w:bookmarkStart w:id="8" w:name="_Toc32293"/>
      <w:bookmarkEnd w:id="7"/>
      <w:r w:rsidRPr="0026713E">
        <w:rPr>
          <w:rFonts w:ascii="仿宋_GB2312" w:eastAsia="仿宋_GB2312" w:cs="仿宋_GB2312" w:hint="eastAsia"/>
          <w:sz w:val="32"/>
          <w:szCs w:val="32"/>
        </w:rPr>
        <w:t>应急处置</w:t>
      </w:r>
      <w:bookmarkStart w:id="9" w:name="_Toc28184"/>
      <w:bookmarkEnd w:id="8"/>
      <w:r w:rsidRPr="0026713E">
        <w:rPr>
          <w:rFonts w:ascii="仿宋_GB2312" w:eastAsia="仿宋_GB2312" w:cs="仿宋_GB2312" w:hint="eastAsia"/>
          <w:sz w:val="32"/>
          <w:szCs w:val="32"/>
        </w:rPr>
        <w:t>和管理人员要求</w:t>
      </w:r>
      <w:bookmarkStart w:id="10" w:name="_Toc21035"/>
      <w:bookmarkEnd w:id="9"/>
      <w:r w:rsidRPr="0026713E">
        <w:rPr>
          <w:rFonts w:ascii="仿宋_GB2312" w:eastAsia="仿宋_GB2312" w:cs="仿宋_GB2312" w:hint="eastAsia"/>
          <w:sz w:val="32"/>
          <w:szCs w:val="32"/>
        </w:rPr>
        <w:t>、危险化学品储存柜安全检查及维修</w:t>
      </w:r>
      <w:bookmarkEnd w:id="10"/>
      <w:r w:rsidRPr="0026713E">
        <w:rPr>
          <w:rFonts w:ascii="仿宋_GB2312" w:eastAsia="仿宋_GB2312" w:cs="仿宋_GB2312" w:hint="eastAsia"/>
          <w:sz w:val="32"/>
          <w:szCs w:val="32"/>
        </w:rPr>
        <w:t>等。</w:t>
      </w:r>
    </w:p>
    <w:p w:rsidR="005B16D1" w:rsidRDefault="005B16D1">
      <w:pPr>
        <w:pStyle w:val="ListParagraph"/>
        <w:numPr>
          <w:ilvl w:val="0"/>
          <w:numId w:val="8"/>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国外相关法律、法规和标准情况的说明</w:t>
      </w:r>
    </w:p>
    <w:p w:rsidR="005B16D1" w:rsidRDefault="005B16D1" w:rsidP="000D181A">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根据易燃液体储存管理的需要，美国工厂互保研究中心（</w:t>
      </w:r>
      <w:r>
        <w:rPr>
          <w:rFonts w:ascii="仿宋_GB2312" w:eastAsia="仿宋_GB2312" w:cs="仿宋_GB2312"/>
          <w:sz w:val="32"/>
          <w:szCs w:val="32"/>
        </w:rPr>
        <w:t>FM</w:t>
      </w:r>
      <w:r>
        <w:rPr>
          <w:rFonts w:ascii="仿宋_GB2312" w:eastAsia="仿宋_GB2312" w:cs="仿宋_GB2312" w:hint="eastAsia"/>
          <w:sz w:val="32"/>
          <w:szCs w:val="32"/>
        </w:rPr>
        <w:t>）制定了《储存柜（易燃</w:t>
      </w:r>
      <w:r>
        <w:rPr>
          <w:rFonts w:ascii="仿宋_GB2312" w:eastAsia="仿宋_GB2312" w:cs="仿宋_GB2312"/>
          <w:sz w:val="32"/>
          <w:szCs w:val="32"/>
        </w:rPr>
        <w:t>AMD</w:t>
      </w:r>
      <w:r>
        <w:rPr>
          <w:rFonts w:ascii="仿宋_GB2312" w:eastAsia="仿宋_GB2312" w:cs="仿宋_GB2312" w:hint="eastAsia"/>
          <w:sz w:val="32"/>
          <w:szCs w:val="32"/>
        </w:rPr>
        <w:t>易燃液体）》（</w:t>
      </w:r>
      <w:r>
        <w:rPr>
          <w:rFonts w:ascii="仿宋_GB2312" w:eastAsia="仿宋_GB2312" w:cs="仿宋_GB2312"/>
          <w:sz w:val="32"/>
          <w:szCs w:val="32"/>
        </w:rPr>
        <w:t>FM 6050-2016</w:t>
      </w:r>
      <w:r>
        <w:rPr>
          <w:rFonts w:ascii="仿宋_GB2312" w:eastAsia="仿宋_GB2312" w:cs="仿宋_GB2312" w:hint="eastAsia"/>
          <w:sz w:val="32"/>
          <w:szCs w:val="32"/>
        </w:rPr>
        <w:t>），应用于美国工厂。</w:t>
      </w:r>
      <w:r>
        <w:rPr>
          <w:rFonts w:ascii="仿宋_GB2312" w:eastAsia="仿宋_GB2312" w:cs="仿宋_GB2312"/>
          <w:sz w:val="32"/>
          <w:szCs w:val="32"/>
        </w:rPr>
        <w:t>2004</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月欧洲标准学会</w:t>
      </w:r>
      <w:r>
        <w:rPr>
          <w:rFonts w:ascii="仿宋_GB2312" w:eastAsia="仿宋_GB2312" w:cs="仿宋_GB2312"/>
          <w:sz w:val="32"/>
          <w:szCs w:val="32"/>
        </w:rPr>
        <w:t>(EN)</w:t>
      </w:r>
      <w:r>
        <w:rPr>
          <w:rFonts w:ascii="仿宋_GB2312" w:eastAsia="仿宋_GB2312" w:cs="仿宋_GB2312" w:hint="eastAsia"/>
          <w:sz w:val="32"/>
          <w:szCs w:val="32"/>
        </w:rPr>
        <w:t>发布《防火存储柜</w:t>
      </w:r>
      <w:r>
        <w:rPr>
          <w:rFonts w:ascii="仿宋_GB2312" w:eastAsia="仿宋_GB2312" w:cs="仿宋_GB2312"/>
          <w:sz w:val="32"/>
          <w:szCs w:val="32"/>
        </w:rPr>
        <w:t>.</w:t>
      </w:r>
      <w:r>
        <w:rPr>
          <w:rFonts w:ascii="仿宋_GB2312" w:eastAsia="仿宋_GB2312" w:cs="仿宋_GB2312" w:hint="eastAsia"/>
          <w:sz w:val="32"/>
          <w:szCs w:val="32"/>
        </w:rPr>
        <w:t>第</w:t>
      </w:r>
      <w:r>
        <w:rPr>
          <w:rFonts w:ascii="仿宋_GB2312" w:eastAsia="仿宋_GB2312" w:cs="仿宋_GB2312"/>
          <w:sz w:val="32"/>
          <w:szCs w:val="32"/>
        </w:rPr>
        <w:t>1</w:t>
      </w:r>
      <w:r>
        <w:rPr>
          <w:rFonts w:ascii="仿宋_GB2312" w:eastAsia="仿宋_GB2312" w:cs="仿宋_GB2312" w:hint="eastAsia"/>
          <w:sz w:val="32"/>
          <w:szCs w:val="32"/>
        </w:rPr>
        <w:t>部分</w:t>
      </w:r>
      <w:r>
        <w:rPr>
          <w:rFonts w:ascii="仿宋_GB2312" w:eastAsia="仿宋_GB2312" w:cs="仿宋_GB2312"/>
          <w:sz w:val="32"/>
          <w:szCs w:val="32"/>
        </w:rPr>
        <w:t>:</w:t>
      </w:r>
      <w:r>
        <w:rPr>
          <w:rFonts w:ascii="仿宋_GB2312" w:eastAsia="仿宋_GB2312" w:cs="仿宋_GB2312" w:hint="eastAsia"/>
          <w:sz w:val="32"/>
          <w:szCs w:val="32"/>
        </w:rPr>
        <w:t>易燃液体的安全存储柜》（</w:t>
      </w:r>
      <w:r>
        <w:rPr>
          <w:rFonts w:ascii="仿宋_GB2312" w:eastAsia="仿宋_GB2312" w:cs="仿宋_GB2312"/>
          <w:sz w:val="32"/>
          <w:szCs w:val="32"/>
        </w:rPr>
        <w:t>EN 14470-1- 2004</w:t>
      </w:r>
      <w:r>
        <w:rPr>
          <w:rFonts w:ascii="仿宋_GB2312" w:eastAsia="仿宋_GB2312" w:cs="仿宋_GB2312" w:hint="eastAsia"/>
          <w:sz w:val="32"/>
          <w:szCs w:val="32"/>
        </w:rPr>
        <w:t>），应用于实验室。</w:t>
      </w:r>
    </w:p>
    <w:p w:rsidR="005B16D1" w:rsidRDefault="005B16D1">
      <w:pPr>
        <w:pStyle w:val="ListParagraph"/>
        <w:numPr>
          <w:ilvl w:val="0"/>
          <w:numId w:val="8"/>
        </w:numPr>
        <w:tabs>
          <w:tab w:val="left" w:pos="720"/>
        </w:tabs>
        <w:spacing w:line="600" w:lineRule="exact"/>
        <w:ind w:firstLineChars="0"/>
        <w:rPr>
          <w:rFonts w:ascii="黑体" w:eastAsia="黑体" w:hAnsi="黑体" w:cs="Times New Roman"/>
          <w:sz w:val="32"/>
          <w:szCs w:val="32"/>
        </w:rPr>
      </w:pPr>
      <w:r>
        <w:rPr>
          <w:rFonts w:ascii="黑体" w:eastAsia="黑体" w:hAnsi="黑体" w:cs="黑体" w:hint="eastAsia"/>
          <w:sz w:val="32"/>
          <w:szCs w:val="32"/>
        </w:rPr>
        <w:t>重大意见分歧的处理结果和依据</w:t>
      </w:r>
    </w:p>
    <w:p w:rsidR="005B16D1" w:rsidRDefault="005B16D1" w:rsidP="000D181A">
      <w:pPr>
        <w:spacing w:line="600" w:lineRule="exact"/>
        <w:ind w:firstLineChars="200" w:firstLine="31680"/>
        <w:rPr>
          <w:rFonts w:ascii="仿宋_GB2312" w:eastAsia="仿宋_GB2312" w:cs="Times New Roman"/>
          <w:b/>
          <w:bCs/>
          <w:color w:val="000000"/>
          <w:sz w:val="32"/>
          <w:szCs w:val="32"/>
        </w:rPr>
      </w:pPr>
      <w:r>
        <w:rPr>
          <w:rFonts w:ascii="仿宋_GB2312" w:eastAsia="仿宋_GB2312" w:cs="仿宋_GB2312" w:hint="eastAsia"/>
          <w:color w:val="000000"/>
          <w:sz w:val="32"/>
          <w:szCs w:val="32"/>
        </w:rPr>
        <w:t>在《</w:t>
      </w:r>
      <w:r>
        <w:rPr>
          <w:rFonts w:ascii="仿宋_GB2312" w:eastAsia="仿宋_GB2312" w:cs="仿宋_GB2312" w:hint="eastAsia"/>
          <w:sz w:val="32"/>
          <w:szCs w:val="32"/>
        </w:rPr>
        <w:t>危险化学品及化学品废弃物存储设备安全管理规范</w:t>
      </w:r>
      <w:r>
        <w:rPr>
          <w:rFonts w:ascii="仿宋_GB2312" w:eastAsia="仿宋_GB2312" w:cs="仿宋_GB2312" w:hint="eastAsia"/>
          <w:color w:val="000000"/>
          <w:sz w:val="32"/>
          <w:szCs w:val="32"/>
        </w:rPr>
        <w:t>》编制过程中，编制小组因标准名称出现意见分歧，参照</w:t>
      </w:r>
      <w:r>
        <w:rPr>
          <w:rFonts w:ascii="仿宋_GB2312" w:eastAsia="仿宋_GB2312" w:cs="仿宋_GB2312" w:hint="eastAsia"/>
          <w:sz w:val="32"/>
          <w:szCs w:val="32"/>
        </w:rPr>
        <w:t>《储存柜（易燃</w:t>
      </w:r>
      <w:r>
        <w:rPr>
          <w:rFonts w:ascii="仿宋_GB2312" w:eastAsia="仿宋_GB2312" w:cs="仿宋_GB2312"/>
          <w:sz w:val="32"/>
          <w:szCs w:val="32"/>
        </w:rPr>
        <w:t>AMD</w:t>
      </w:r>
      <w:r>
        <w:rPr>
          <w:rFonts w:ascii="仿宋_GB2312" w:eastAsia="仿宋_GB2312" w:cs="仿宋_GB2312" w:hint="eastAsia"/>
          <w:sz w:val="32"/>
          <w:szCs w:val="32"/>
        </w:rPr>
        <w:t>易燃液体）》（</w:t>
      </w:r>
      <w:r>
        <w:rPr>
          <w:rFonts w:ascii="仿宋_GB2312" w:eastAsia="仿宋_GB2312" w:cs="仿宋_GB2312"/>
          <w:sz w:val="32"/>
          <w:szCs w:val="32"/>
        </w:rPr>
        <w:t>FM 6050-2016</w:t>
      </w:r>
      <w:r>
        <w:rPr>
          <w:rFonts w:ascii="仿宋_GB2312" w:eastAsia="仿宋_GB2312" w:cs="仿宋_GB2312" w:hint="eastAsia"/>
          <w:sz w:val="32"/>
          <w:szCs w:val="32"/>
        </w:rPr>
        <w:t>）</w:t>
      </w:r>
      <w:r>
        <w:rPr>
          <w:rFonts w:ascii="仿宋_GB2312" w:eastAsia="仿宋_GB2312" w:cs="仿宋_GB2312" w:hint="eastAsia"/>
          <w:color w:val="000000"/>
          <w:sz w:val="32"/>
          <w:szCs w:val="32"/>
        </w:rPr>
        <w:t>等文献，结合现有的法律法规和标准，将《</w:t>
      </w:r>
      <w:r>
        <w:rPr>
          <w:rFonts w:ascii="仿宋_GB2312" w:eastAsia="仿宋_GB2312" w:cs="仿宋_GB2312" w:hint="eastAsia"/>
          <w:sz w:val="32"/>
          <w:szCs w:val="32"/>
        </w:rPr>
        <w:t>危险化学品及化学品废弃物存储设备安全管理规范</w:t>
      </w:r>
      <w:r>
        <w:rPr>
          <w:rFonts w:ascii="仿宋_GB2312" w:eastAsia="仿宋_GB2312" w:cs="仿宋_GB2312" w:hint="eastAsia"/>
          <w:color w:val="000000"/>
          <w:sz w:val="32"/>
          <w:szCs w:val="32"/>
        </w:rPr>
        <w:t>》更改为《危险化学品储存柜安全技术管理规范》，确保所有的内容符合要求。</w:t>
      </w:r>
    </w:p>
    <w:p w:rsidR="005B16D1" w:rsidRDefault="005B16D1">
      <w:pPr>
        <w:numPr>
          <w:ilvl w:val="0"/>
          <w:numId w:val="8"/>
        </w:numPr>
        <w:tabs>
          <w:tab w:val="left" w:pos="720"/>
        </w:tabs>
        <w:spacing w:line="600" w:lineRule="exact"/>
        <w:rPr>
          <w:rFonts w:ascii="黑体" w:eastAsia="黑体" w:hAnsi="黑体" w:cs="Times New Roman"/>
          <w:color w:val="000000"/>
          <w:sz w:val="32"/>
          <w:szCs w:val="32"/>
        </w:rPr>
      </w:pPr>
      <w:r>
        <w:rPr>
          <w:rFonts w:ascii="黑体" w:eastAsia="黑体" w:hAnsi="黑体" w:cs="黑体" w:hint="eastAsia"/>
          <w:color w:val="000000"/>
          <w:sz w:val="32"/>
          <w:szCs w:val="32"/>
        </w:rPr>
        <w:t>预期的社会经济效果</w:t>
      </w:r>
    </w:p>
    <w:p w:rsidR="005B16D1" w:rsidRDefault="005B16D1" w:rsidP="000D181A">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通过规范危险化学品储存柜的安全管理，可以进一步提高使用危险化学品环节中，危险化学品储存安全管理水平，能够在一定程度上解决使用危险化学品单位作业现场危险化学品乱存放的问题，降低事故风险。</w:t>
      </w:r>
    </w:p>
    <w:p w:rsidR="005B16D1" w:rsidRDefault="005B16D1">
      <w:pPr>
        <w:numPr>
          <w:ilvl w:val="0"/>
          <w:numId w:val="8"/>
        </w:numPr>
        <w:tabs>
          <w:tab w:val="left" w:pos="720"/>
        </w:tabs>
        <w:spacing w:line="600" w:lineRule="exact"/>
        <w:rPr>
          <w:rFonts w:ascii="黑体" w:eastAsia="黑体" w:hAnsi="黑体" w:cs="Times New Roman"/>
          <w:color w:val="000000"/>
          <w:sz w:val="32"/>
          <w:szCs w:val="32"/>
        </w:rPr>
      </w:pPr>
      <w:r>
        <w:rPr>
          <w:rFonts w:ascii="黑体" w:eastAsia="黑体" w:hAnsi="黑体" w:cs="黑体" w:hint="eastAsia"/>
          <w:color w:val="000000"/>
          <w:sz w:val="32"/>
          <w:szCs w:val="32"/>
        </w:rPr>
        <w:t>其他应予说明的事项</w:t>
      </w:r>
    </w:p>
    <w:p w:rsidR="005B16D1" w:rsidRDefault="005B16D1" w:rsidP="000D181A">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《危险化学品储存柜安全技术管理规范》参考多个法规、标准和文件，自成体系，独立发挥自己的作用，指导深圳市危险化学品储存设备安全管理。</w:t>
      </w:r>
    </w:p>
    <w:p w:rsidR="005B16D1" w:rsidRDefault="005B16D1">
      <w:pPr>
        <w:spacing w:line="600" w:lineRule="exact"/>
        <w:ind w:firstLine="480"/>
        <w:rPr>
          <w:rFonts w:ascii="仿宋_GB2312" w:eastAsia="仿宋_GB2312" w:cs="Times New Roman"/>
          <w:sz w:val="32"/>
          <w:szCs w:val="32"/>
        </w:rPr>
      </w:pPr>
      <w:r>
        <w:rPr>
          <w:rFonts w:ascii="仿宋_GB2312" w:eastAsia="仿宋_GB2312" w:cs="仿宋_GB2312" w:hint="eastAsia"/>
          <w:sz w:val="32"/>
          <w:szCs w:val="32"/>
        </w:rPr>
        <w:t>本标准符合深圳市标准化指导性技术文件要求。</w:t>
      </w:r>
      <w:bookmarkStart w:id="11" w:name="_GoBack"/>
      <w:bookmarkEnd w:id="11"/>
    </w:p>
    <w:p w:rsidR="005B16D1" w:rsidRDefault="005B16D1">
      <w:pPr>
        <w:spacing w:line="600" w:lineRule="exact"/>
        <w:ind w:firstLine="480"/>
        <w:rPr>
          <w:rFonts w:ascii="仿宋_GB2312" w:eastAsia="仿宋_GB2312" w:cs="Times New Roman"/>
          <w:sz w:val="32"/>
          <w:szCs w:val="32"/>
        </w:rPr>
      </w:pPr>
    </w:p>
    <w:p w:rsidR="005B16D1" w:rsidRDefault="005B16D1">
      <w:pPr>
        <w:spacing w:line="600" w:lineRule="exact"/>
        <w:ind w:firstLine="480"/>
        <w:jc w:val="right"/>
        <w:rPr>
          <w:rFonts w:ascii="仿宋_GB2312" w:eastAsia="仿宋_GB2312" w:cs="Times New Roman"/>
          <w:color w:val="000000"/>
          <w:sz w:val="32"/>
          <w:szCs w:val="32"/>
        </w:rPr>
      </w:pPr>
      <w:r>
        <w:rPr>
          <w:rFonts w:ascii="仿宋_GB2312" w:eastAsia="仿宋_GB2312" w:cs="仿宋_GB2312" w:hint="eastAsia"/>
          <w:color w:val="000000"/>
          <w:sz w:val="32"/>
          <w:szCs w:val="32"/>
        </w:rPr>
        <w:t>深圳市危险化学品行业协会</w:t>
      </w:r>
    </w:p>
    <w:p w:rsidR="005B16D1" w:rsidRDefault="005B16D1">
      <w:pPr>
        <w:spacing w:line="600" w:lineRule="exact"/>
        <w:ind w:right="360" w:firstLine="480"/>
        <w:jc w:val="right"/>
        <w:rPr>
          <w:rFonts w:ascii="仿宋_GB2312" w:eastAsia="仿宋_GB2312" w:cs="Times New Roman"/>
          <w:sz w:val="32"/>
          <w:szCs w:val="32"/>
        </w:rPr>
        <w:sectPr w:rsidR="005B16D1">
          <w:footerReference w:type="default" r:id="rId7"/>
          <w:pgSz w:w="11907" w:h="16834"/>
          <w:pgMar w:top="1440" w:right="1800" w:bottom="1440" w:left="1800" w:header="851" w:footer="992" w:gutter="0"/>
          <w:pgNumType w:start="1"/>
          <w:cols w:space="720"/>
          <w:docGrid w:type="lines" w:linePitch="312"/>
        </w:sectPr>
      </w:pP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30</w:t>
      </w:r>
      <w:r>
        <w:rPr>
          <w:rFonts w:ascii="仿宋_GB2312" w:eastAsia="仿宋_GB2312" w:cs="仿宋_GB2312" w:hint="eastAsia"/>
          <w:sz w:val="32"/>
          <w:szCs w:val="32"/>
        </w:rPr>
        <w:t>日</w:t>
      </w:r>
      <w:r>
        <w:rPr>
          <w:rFonts w:cs="Times New Roman"/>
        </w:rPr>
        <w:tab/>
      </w:r>
    </w:p>
    <w:p w:rsidR="005B16D1" w:rsidRDefault="005B16D1">
      <w:pPr>
        <w:spacing w:line="360" w:lineRule="auto"/>
        <w:jc w:val="left"/>
        <w:rPr>
          <w:rFonts w:ascii="方正小标宋简体" w:eastAsia="方正小标宋简体" w:cs="Times New Roman"/>
          <w:color w:val="000000"/>
          <w:sz w:val="32"/>
          <w:szCs w:val="32"/>
        </w:rPr>
      </w:pPr>
      <w:r w:rsidRPr="00EC750F">
        <w:rPr>
          <w:rFonts w:ascii="黑体" w:eastAsia="黑体" w:hAnsi="黑体" w:cs="黑体" w:hint="eastAsia"/>
          <w:color w:val="000000"/>
          <w:sz w:val="24"/>
          <w:szCs w:val="24"/>
        </w:rPr>
        <w:t>附表</w:t>
      </w:r>
      <w:r w:rsidRPr="00EC750F">
        <w:rPr>
          <w:rFonts w:ascii="黑体" w:eastAsia="黑体" w:hAnsi="黑体" w:cs="黑体"/>
          <w:color w:val="000000"/>
          <w:sz w:val="24"/>
          <w:szCs w:val="24"/>
        </w:rPr>
        <w:t xml:space="preserve">: </w:t>
      </w:r>
      <w:r>
        <w:rPr>
          <w:color w:val="000000"/>
          <w:sz w:val="24"/>
          <w:szCs w:val="24"/>
        </w:rPr>
        <w:t xml:space="preserve">                                            </w:t>
      </w:r>
      <w:r w:rsidRPr="00EC750F">
        <w:rPr>
          <w:rFonts w:ascii="方正小标宋简体" w:eastAsia="方正小标宋简体" w:cs="方正小标宋简体"/>
          <w:color w:val="000000"/>
          <w:sz w:val="32"/>
          <w:szCs w:val="32"/>
        </w:rPr>
        <w:t xml:space="preserve">  </w:t>
      </w:r>
    </w:p>
    <w:p w:rsidR="005B16D1" w:rsidRPr="00EC750F" w:rsidRDefault="005B16D1" w:rsidP="00EC750F">
      <w:pPr>
        <w:spacing w:line="360" w:lineRule="auto"/>
        <w:jc w:val="center"/>
        <w:rPr>
          <w:rFonts w:ascii="方正小标宋简体" w:eastAsia="方正小标宋简体" w:cs="Times New Roman"/>
          <w:color w:val="000000"/>
          <w:sz w:val="32"/>
          <w:szCs w:val="32"/>
        </w:rPr>
      </w:pPr>
      <w:r w:rsidRPr="00EC750F">
        <w:rPr>
          <w:rFonts w:ascii="方正小标宋简体" w:eastAsia="方正小标宋简体" w:cs="方正小标宋简体" w:hint="eastAsia"/>
          <w:color w:val="000000"/>
          <w:sz w:val="32"/>
          <w:szCs w:val="32"/>
        </w:rPr>
        <w:t>编制依据</w:t>
      </w:r>
    </w:p>
    <w:tbl>
      <w:tblPr>
        <w:tblW w:w="143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1456"/>
        <w:gridCol w:w="5075"/>
        <w:gridCol w:w="5825"/>
        <w:gridCol w:w="1162"/>
      </w:tblGrid>
      <w:tr w:rsidR="005B16D1">
        <w:trPr>
          <w:trHeight w:val="464"/>
        </w:trPr>
        <w:tc>
          <w:tcPr>
            <w:tcW w:w="881" w:type="dxa"/>
          </w:tcPr>
          <w:p w:rsidR="005B16D1" w:rsidRDefault="005B16D1">
            <w:pPr>
              <w:spacing w:line="480" w:lineRule="auto"/>
              <w:jc w:val="center"/>
              <w:rPr>
                <w:rFonts w:ascii="宋体" w:cs="Times New Roman"/>
                <w:b/>
                <w:bCs/>
                <w:color w:val="000000"/>
              </w:rPr>
            </w:pPr>
            <w:r>
              <w:rPr>
                <w:rFonts w:ascii="宋体" w:hAnsi="宋体" w:cs="宋体" w:hint="eastAsia"/>
                <w:b/>
                <w:bCs/>
                <w:color w:val="000000"/>
                <w:kern w:val="0"/>
              </w:rPr>
              <w:t>序号</w:t>
            </w:r>
          </w:p>
        </w:tc>
        <w:tc>
          <w:tcPr>
            <w:tcW w:w="1456" w:type="dxa"/>
          </w:tcPr>
          <w:p w:rsidR="005B16D1" w:rsidRDefault="005B16D1">
            <w:pPr>
              <w:spacing w:line="480" w:lineRule="auto"/>
              <w:jc w:val="center"/>
              <w:rPr>
                <w:rFonts w:ascii="宋体" w:cs="Times New Roman"/>
                <w:b/>
                <w:bCs/>
                <w:color w:val="000000"/>
                <w:kern w:val="0"/>
              </w:rPr>
            </w:pPr>
            <w:r>
              <w:rPr>
                <w:rFonts w:ascii="宋体" w:hAnsi="宋体" w:cs="宋体" w:hint="eastAsia"/>
                <w:b/>
                <w:bCs/>
                <w:color w:val="000000"/>
                <w:kern w:val="0"/>
              </w:rPr>
              <w:t>标准要素</w:t>
            </w:r>
          </w:p>
        </w:tc>
        <w:tc>
          <w:tcPr>
            <w:tcW w:w="5075" w:type="dxa"/>
          </w:tcPr>
          <w:p w:rsidR="005B16D1" w:rsidRDefault="005B16D1">
            <w:pPr>
              <w:spacing w:line="480" w:lineRule="auto"/>
              <w:jc w:val="center"/>
              <w:rPr>
                <w:rFonts w:ascii="宋体" w:cs="Times New Roman"/>
                <w:b/>
                <w:bCs/>
                <w:color w:val="000000"/>
                <w:kern w:val="0"/>
              </w:rPr>
            </w:pPr>
            <w:r>
              <w:rPr>
                <w:rFonts w:ascii="宋体" w:hAnsi="宋体" w:cs="宋体" w:hint="eastAsia"/>
                <w:b/>
                <w:bCs/>
                <w:color w:val="000000"/>
                <w:kern w:val="0"/>
              </w:rPr>
              <w:t>标准内容</w:t>
            </w:r>
          </w:p>
        </w:tc>
        <w:tc>
          <w:tcPr>
            <w:tcW w:w="5825" w:type="dxa"/>
          </w:tcPr>
          <w:p w:rsidR="005B16D1" w:rsidRDefault="005B16D1">
            <w:pPr>
              <w:spacing w:line="480" w:lineRule="auto"/>
              <w:jc w:val="center"/>
              <w:rPr>
                <w:rFonts w:ascii="宋体" w:cs="Times New Roman"/>
                <w:b/>
                <w:bCs/>
                <w:color w:val="000000"/>
                <w:kern w:val="0"/>
              </w:rPr>
            </w:pPr>
            <w:r>
              <w:rPr>
                <w:rFonts w:ascii="宋体" w:hAnsi="宋体" w:cs="宋体" w:hint="eastAsia"/>
                <w:b/>
                <w:bCs/>
                <w:color w:val="000000"/>
                <w:kern w:val="0"/>
              </w:rPr>
              <w:t>编制依据</w:t>
            </w:r>
          </w:p>
        </w:tc>
        <w:tc>
          <w:tcPr>
            <w:tcW w:w="1162" w:type="dxa"/>
          </w:tcPr>
          <w:p w:rsidR="005B16D1" w:rsidRDefault="005B16D1">
            <w:pPr>
              <w:spacing w:line="480" w:lineRule="auto"/>
              <w:jc w:val="center"/>
              <w:rPr>
                <w:rFonts w:ascii="宋体" w:cs="Times New Roman"/>
                <w:b/>
                <w:bCs/>
                <w:color w:val="000000"/>
                <w:kern w:val="0"/>
              </w:rPr>
            </w:pPr>
            <w:r>
              <w:rPr>
                <w:rFonts w:ascii="宋体" w:hAnsi="宋体" w:cs="宋体" w:hint="eastAsia"/>
                <w:b/>
                <w:bCs/>
                <w:color w:val="000000"/>
                <w:kern w:val="0"/>
              </w:rPr>
              <w:t>备注</w:t>
            </w:r>
          </w:p>
        </w:tc>
      </w:tr>
      <w:tr w:rsidR="005B16D1">
        <w:tc>
          <w:tcPr>
            <w:tcW w:w="881" w:type="dxa"/>
          </w:tcPr>
          <w:p w:rsidR="005B16D1" w:rsidRDefault="005B16D1">
            <w:pPr>
              <w:spacing w:line="480" w:lineRule="auto"/>
              <w:jc w:val="center"/>
              <w:rPr>
                <w:rFonts w:ascii="宋体" w:cs="Times New Roman"/>
                <w:color w:val="000000"/>
              </w:rPr>
            </w:pPr>
            <w:r>
              <w:rPr>
                <w:rFonts w:ascii="宋体" w:hAnsi="宋体" w:cs="宋体"/>
                <w:color w:val="000000"/>
              </w:rPr>
              <w:t>1</w:t>
            </w:r>
          </w:p>
        </w:tc>
        <w:tc>
          <w:tcPr>
            <w:tcW w:w="1456" w:type="dxa"/>
          </w:tcPr>
          <w:p w:rsidR="005B16D1" w:rsidRDefault="005B16D1">
            <w:pPr>
              <w:spacing w:line="360" w:lineRule="auto"/>
              <w:jc w:val="center"/>
              <w:rPr>
                <w:rFonts w:ascii="宋体" w:cs="Times New Roman"/>
                <w:color w:val="000000"/>
              </w:rPr>
            </w:pPr>
            <w:bookmarkStart w:id="12" w:name="_Toc7969032"/>
            <w:r>
              <w:rPr>
                <w:rFonts w:ascii="宋体" w:hAnsi="宋体" w:cs="宋体"/>
                <w:color w:val="000000"/>
              </w:rPr>
              <w:t xml:space="preserve">1  </w:t>
            </w:r>
            <w:r>
              <w:rPr>
                <w:rFonts w:ascii="宋体" w:hAnsi="宋体" w:cs="宋体" w:hint="eastAsia"/>
                <w:color w:val="000000"/>
              </w:rPr>
              <w:t>范围</w:t>
            </w:r>
            <w:bookmarkEnd w:id="12"/>
          </w:p>
          <w:p w:rsidR="005B16D1" w:rsidRDefault="005B16D1">
            <w:pPr>
              <w:spacing w:line="360" w:lineRule="auto"/>
              <w:jc w:val="center"/>
              <w:rPr>
                <w:rFonts w:ascii="宋体" w:cs="Times New Roman"/>
                <w:color w:val="000000"/>
              </w:rPr>
            </w:pPr>
          </w:p>
        </w:tc>
        <w:tc>
          <w:tcPr>
            <w:tcW w:w="5075" w:type="dxa"/>
          </w:tcPr>
          <w:p w:rsidR="005B16D1" w:rsidRDefault="005B16D1" w:rsidP="005B16D1">
            <w:pPr>
              <w:pStyle w:val="a9"/>
              <w:ind w:firstLine="31680"/>
              <w:rPr>
                <w:rFonts w:cs="Times New Roman"/>
              </w:rPr>
            </w:pPr>
            <w:r>
              <w:rPr>
                <w:rFonts w:hint="eastAsia"/>
              </w:rPr>
              <w:t>本指导性技术文件规定了易燃液体、可燃液体（均按危险化学品管理）、腐蚀性液体、毒害品、压缩气体气瓶共</w:t>
            </w:r>
            <w:r>
              <w:t>5</w:t>
            </w:r>
            <w:r>
              <w:rPr>
                <w:rFonts w:hint="eastAsia"/>
              </w:rPr>
              <w:t>类危险化学品储存柜的术语、定义、产品分类、技术要求和使用管理，其他类别危险化学品储存柜可参照执行。</w:t>
            </w:r>
          </w:p>
          <w:p w:rsidR="005B16D1" w:rsidRDefault="005B16D1">
            <w:pPr>
              <w:pStyle w:val="a9"/>
              <w:ind w:firstLineChars="0" w:firstLine="420"/>
              <w:rPr>
                <w:rFonts w:hAnsi="宋体" w:cs="Times New Roman"/>
                <w:color w:val="000000"/>
              </w:rPr>
            </w:pPr>
            <w:r>
              <w:rPr>
                <w:rFonts w:hint="eastAsia"/>
              </w:rPr>
              <w:t>本指导性技术文件适用于深圳市行政区域范围内生产经营单位，科研机构、医院及学校等单位可参照执行。</w:t>
            </w:r>
          </w:p>
        </w:tc>
        <w:tc>
          <w:tcPr>
            <w:tcW w:w="5825" w:type="dxa"/>
          </w:tcPr>
          <w:p w:rsidR="005B16D1" w:rsidRDefault="005B16D1">
            <w:pPr>
              <w:jc w:val="left"/>
              <w:rPr>
                <w:rFonts w:ascii="宋体" w:cs="Times New Roman"/>
                <w:color w:val="000000"/>
              </w:rPr>
            </w:pPr>
            <w:r>
              <w:rPr>
                <w:rFonts w:ascii="宋体" w:hAnsi="宋体" w:cs="宋体" w:hint="eastAsia"/>
                <w:color w:val="000000"/>
              </w:rPr>
              <w:t>《危险化学品安全管理条例》（</w:t>
            </w:r>
            <w:r>
              <w:rPr>
                <w:rFonts w:ascii="宋体" w:hAnsi="宋体" w:cs="宋体"/>
                <w:color w:val="000000"/>
              </w:rPr>
              <w:t>2013</w:t>
            </w:r>
            <w:r>
              <w:rPr>
                <w:rFonts w:ascii="宋体" w:hAnsi="宋体" w:cs="宋体" w:hint="eastAsia"/>
                <w:color w:val="000000"/>
              </w:rPr>
              <w:t>年修正本）第一章第三条；</w:t>
            </w:r>
          </w:p>
          <w:p w:rsidR="005B16D1" w:rsidRDefault="005B16D1">
            <w:pPr>
              <w:jc w:val="left"/>
              <w:rPr>
                <w:rFonts w:ascii="宋体" w:cs="Times New Roman"/>
                <w:color w:val="000000"/>
              </w:rPr>
            </w:pPr>
            <w:r>
              <w:rPr>
                <w:rFonts w:ascii="宋体" w:hAnsi="宋体" w:cs="宋体" w:hint="eastAsia"/>
                <w:color w:val="000000"/>
              </w:rPr>
              <w:t>《危险化学品目录》（</w:t>
            </w:r>
            <w:r>
              <w:rPr>
                <w:rFonts w:ascii="宋体" w:hAnsi="宋体" w:cs="宋体"/>
                <w:color w:val="000000"/>
              </w:rPr>
              <w:t>2015</w:t>
            </w:r>
            <w:r>
              <w:rPr>
                <w:rFonts w:ascii="宋体" w:hAnsi="宋体" w:cs="宋体" w:hint="eastAsia"/>
                <w:color w:val="000000"/>
              </w:rPr>
              <w:t>版）说明第一条；</w:t>
            </w:r>
          </w:p>
          <w:p w:rsidR="005B16D1" w:rsidRDefault="005B16D1">
            <w:pPr>
              <w:jc w:val="left"/>
              <w:rPr>
                <w:rFonts w:ascii="宋体" w:cs="Times New Roman"/>
                <w:color w:val="000000"/>
              </w:rPr>
            </w:pPr>
            <w:r>
              <w:rPr>
                <w:rFonts w:ascii="宋体" w:hAnsi="宋体" w:cs="宋体" w:hint="eastAsia"/>
                <w:color w:val="000000"/>
              </w:rPr>
              <w:t>《</w:t>
            </w:r>
            <w:r>
              <w:rPr>
                <w:rFonts w:cs="宋体" w:hint="eastAsia"/>
              </w:rPr>
              <w:t>常用化学危险品贮存通则</w:t>
            </w:r>
            <w:r>
              <w:rPr>
                <w:rFonts w:ascii="宋体" w:hAnsi="宋体" w:cs="宋体" w:hint="eastAsia"/>
                <w:color w:val="000000"/>
              </w:rPr>
              <w:t>》（</w:t>
            </w:r>
            <w:r>
              <w:rPr>
                <w:rFonts w:ascii="宋体" w:hAnsi="宋体" w:cs="宋体"/>
                <w:color w:val="000000"/>
              </w:rPr>
              <w:t>GB 15603-1995</w:t>
            </w:r>
            <w:r>
              <w:rPr>
                <w:rFonts w:ascii="宋体" w:hAnsi="宋体" w:cs="宋体" w:hint="eastAsia"/>
                <w:color w:val="000000"/>
              </w:rPr>
              <w:t>）基本要求第</w:t>
            </w:r>
            <w:r>
              <w:rPr>
                <w:rFonts w:ascii="宋体" w:hAnsi="宋体" w:cs="宋体"/>
                <w:color w:val="000000"/>
              </w:rPr>
              <w:t>4.5</w:t>
            </w:r>
            <w:r>
              <w:rPr>
                <w:rFonts w:ascii="宋体" w:hAnsi="宋体" w:cs="宋体" w:hint="eastAsia"/>
                <w:color w:val="000000"/>
              </w:rPr>
              <w:t>节；</w:t>
            </w:r>
          </w:p>
          <w:p w:rsidR="005B16D1" w:rsidRDefault="005B16D1">
            <w:pPr>
              <w:jc w:val="left"/>
              <w:rPr>
                <w:rFonts w:ascii="宋体" w:cs="Times New Roman"/>
                <w:color w:val="000000"/>
              </w:rPr>
            </w:pPr>
            <w:r>
              <w:rPr>
                <w:rFonts w:ascii="宋体" w:hAnsi="宋体" w:cs="宋体" w:hint="eastAsia"/>
                <w:color w:val="000000"/>
              </w:rPr>
              <w:t>《化学品分类和危险性公示</w:t>
            </w:r>
            <w:r>
              <w:rPr>
                <w:rFonts w:ascii="宋体" w:hAnsi="宋体" w:cs="宋体"/>
                <w:color w:val="000000"/>
              </w:rPr>
              <w:t xml:space="preserve"> </w:t>
            </w:r>
            <w:r>
              <w:rPr>
                <w:rFonts w:ascii="宋体" w:hAnsi="宋体" w:cs="宋体" w:hint="eastAsia"/>
                <w:color w:val="000000"/>
              </w:rPr>
              <w:t>通则》（</w:t>
            </w:r>
            <w:r>
              <w:rPr>
                <w:rFonts w:ascii="宋体" w:hAnsi="宋体" w:cs="宋体"/>
                <w:color w:val="000000"/>
              </w:rPr>
              <w:t>GB 13690-2009</w:t>
            </w:r>
            <w:r>
              <w:rPr>
                <w:rFonts w:ascii="宋体" w:hAnsi="宋体" w:cs="宋体" w:hint="eastAsia"/>
                <w:color w:val="000000"/>
              </w:rPr>
              <w:t>）第</w:t>
            </w:r>
            <w:r>
              <w:rPr>
                <w:rFonts w:ascii="宋体" w:hAnsi="宋体" w:cs="宋体"/>
                <w:color w:val="000000"/>
              </w:rPr>
              <w:t>4</w:t>
            </w:r>
            <w:r>
              <w:rPr>
                <w:rFonts w:ascii="宋体" w:hAnsi="宋体" w:cs="宋体" w:hint="eastAsia"/>
                <w:color w:val="000000"/>
              </w:rPr>
              <w:t>节；</w:t>
            </w:r>
          </w:p>
          <w:p w:rsidR="005B16D1" w:rsidRDefault="005B16D1">
            <w:pPr>
              <w:jc w:val="left"/>
              <w:rPr>
                <w:rFonts w:ascii="宋体" w:cs="Times New Roman"/>
                <w:color w:val="000000"/>
              </w:rPr>
            </w:pPr>
            <w:r>
              <w:rPr>
                <w:rFonts w:ascii="宋体" w:hAnsi="宋体" w:cs="宋体" w:hint="eastAsia"/>
                <w:color w:val="000000"/>
              </w:rPr>
              <w:t>《危险货物分类和品名编号》（</w:t>
            </w:r>
            <w:r>
              <w:rPr>
                <w:rFonts w:ascii="宋体" w:hAnsi="宋体" w:cs="宋体"/>
                <w:color w:val="000000"/>
              </w:rPr>
              <w:t>GB 6944-2012</w:t>
            </w:r>
            <w:r>
              <w:rPr>
                <w:rFonts w:ascii="宋体" w:hAnsi="宋体" w:cs="宋体" w:hint="eastAsia"/>
                <w:color w:val="000000"/>
              </w:rPr>
              <w:t>）第</w:t>
            </w:r>
            <w:r>
              <w:rPr>
                <w:rFonts w:ascii="宋体" w:hAnsi="宋体" w:cs="宋体"/>
                <w:color w:val="000000"/>
              </w:rPr>
              <w:t>4</w:t>
            </w:r>
            <w:r>
              <w:rPr>
                <w:rFonts w:ascii="宋体" w:hAnsi="宋体" w:cs="宋体" w:hint="eastAsia"/>
                <w:color w:val="000000"/>
              </w:rPr>
              <w:t>节；</w:t>
            </w:r>
          </w:p>
        </w:tc>
        <w:tc>
          <w:tcPr>
            <w:tcW w:w="1162" w:type="dxa"/>
          </w:tcPr>
          <w:p w:rsidR="005B16D1" w:rsidRDefault="005B16D1">
            <w:pPr>
              <w:spacing w:line="360" w:lineRule="auto"/>
              <w:jc w:val="center"/>
              <w:rPr>
                <w:rFonts w:ascii="宋体" w:cs="Times New Roman"/>
                <w:color w:val="FF0000"/>
              </w:rPr>
            </w:pPr>
          </w:p>
        </w:tc>
      </w:tr>
      <w:tr w:rsidR="005B16D1">
        <w:trPr>
          <w:trHeight w:val="90"/>
        </w:trPr>
        <w:tc>
          <w:tcPr>
            <w:tcW w:w="881" w:type="dxa"/>
          </w:tcPr>
          <w:p w:rsidR="005B16D1" w:rsidRDefault="005B16D1">
            <w:pPr>
              <w:spacing w:line="480" w:lineRule="auto"/>
              <w:jc w:val="center"/>
              <w:rPr>
                <w:rFonts w:ascii="宋体" w:cs="Times New Roman"/>
                <w:color w:val="FF0000"/>
              </w:rPr>
            </w:pPr>
            <w:r>
              <w:rPr>
                <w:rFonts w:ascii="宋体" w:hAnsi="宋体" w:cs="宋体"/>
              </w:rPr>
              <w:t>2</w:t>
            </w:r>
          </w:p>
        </w:tc>
        <w:tc>
          <w:tcPr>
            <w:tcW w:w="1456" w:type="dxa"/>
          </w:tcPr>
          <w:p w:rsidR="005B16D1" w:rsidRDefault="005B16D1">
            <w:pPr>
              <w:spacing w:line="360" w:lineRule="auto"/>
              <w:jc w:val="center"/>
              <w:rPr>
                <w:rFonts w:ascii="宋体" w:cs="Times New Roman"/>
              </w:rPr>
            </w:pPr>
            <w:bookmarkStart w:id="13" w:name="_Toc7969034"/>
            <w:r>
              <w:rPr>
                <w:rFonts w:ascii="宋体" w:hAnsi="宋体" w:cs="宋体"/>
              </w:rPr>
              <w:t xml:space="preserve">3  </w:t>
            </w:r>
            <w:r>
              <w:rPr>
                <w:rFonts w:ascii="宋体" w:hAnsi="宋体" w:cs="宋体" w:hint="eastAsia"/>
              </w:rPr>
              <w:t>术语和定义</w:t>
            </w:r>
            <w:bookmarkEnd w:id="13"/>
          </w:p>
          <w:p w:rsidR="005B16D1" w:rsidRDefault="005B16D1">
            <w:pPr>
              <w:spacing w:line="360" w:lineRule="auto"/>
              <w:jc w:val="center"/>
              <w:rPr>
                <w:rFonts w:ascii="宋体" w:cs="Times New Roman"/>
                <w:color w:val="FF0000"/>
              </w:rPr>
            </w:pPr>
          </w:p>
        </w:tc>
        <w:tc>
          <w:tcPr>
            <w:tcW w:w="5075" w:type="dxa"/>
          </w:tcPr>
          <w:p w:rsidR="005B16D1" w:rsidRDefault="005B16D1">
            <w:pPr>
              <w:pStyle w:val="a9"/>
              <w:ind w:firstLineChars="0" w:firstLine="0"/>
              <w:rPr>
                <w:rFonts w:cs="Times New Roman"/>
              </w:rPr>
            </w:pPr>
            <w:bookmarkStart w:id="14" w:name="_Toc28684"/>
            <w:bookmarkStart w:id="15" w:name="_Toc29380"/>
            <w:r>
              <w:t>3.1</w:t>
            </w:r>
            <w:r>
              <w:rPr>
                <w:rFonts w:hint="eastAsia"/>
              </w:rPr>
              <w:t>危险化学品储存柜</w:t>
            </w:r>
            <w:bookmarkEnd w:id="14"/>
            <w:bookmarkEnd w:id="15"/>
          </w:p>
          <w:p w:rsidR="005B16D1" w:rsidRDefault="005B16D1" w:rsidP="005B16D1">
            <w:pPr>
              <w:pStyle w:val="a9"/>
              <w:ind w:firstLine="31680"/>
              <w:rPr>
                <w:rFonts w:cs="Times New Roman"/>
              </w:rPr>
            </w:pPr>
            <w:r>
              <w:rPr>
                <w:rFonts w:hint="eastAsia"/>
              </w:rPr>
              <w:t>用于储存易燃液体、可燃液体、腐蚀性液体、毒害品、压缩气体气瓶等危险化学品的柜体，包括易燃液体储存柜（简称</w:t>
            </w:r>
            <w:r>
              <w:t>Y</w:t>
            </w:r>
            <w:r>
              <w:rPr>
                <w:rFonts w:hint="eastAsia"/>
              </w:rPr>
              <w:t>）、可燃液体储存柜（简称</w:t>
            </w:r>
            <w:r>
              <w:t>K</w:t>
            </w:r>
            <w:r>
              <w:rPr>
                <w:rFonts w:hint="eastAsia"/>
              </w:rPr>
              <w:t>）、腐蚀性液体储存柜（简称</w:t>
            </w:r>
            <w:r>
              <w:t>F</w:t>
            </w:r>
            <w:r>
              <w:rPr>
                <w:rFonts w:hint="eastAsia"/>
              </w:rPr>
              <w:t>）、毒害品储存柜（简称</w:t>
            </w:r>
            <w:r>
              <w:t>D</w:t>
            </w:r>
            <w:r>
              <w:rPr>
                <w:rFonts w:hint="eastAsia"/>
              </w:rPr>
              <w:t>）、压缩气体气瓶储存柜（简称</w:t>
            </w:r>
            <w:r>
              <w:t>Q</w:t>
            </w:r>
            <w:r>
              <w:rPr>
                <w:rFonts w:hint="eastAsia"/>
              </w:rPr>
              <w:t>）等。</w:t>
            </w:r>
          </w:p>
          <w:p w:rsidR="005B16D1" w:rsidRDefault="005B16D1">
            <w:pPr>
              <w:pStyle w:val="a9"/>
              <w:ind w:firstLineChars="0" w:firstLine="0"/>
              <w:rPr>
                <w:rFonts w:cs="Times New Roman"/>
              </w:rPr>
            </w:pPr>
            <w:bookmarkStart w:id="16" w:name="_Toc27228"/>
            <w:bookmarkStart w:id="17" w:name="_Toc28170"/>
            <w:r>
              <w:t>3.2</w:t>
            </w:r>
            <w:r>
              <w:rPr>
                <w:rFonts w:hint="eastAsia"/>
              </w:rPr>
              <w:t>易燃液体储存柜</w:t>
            </w:r>
            <w:bookmarkEnd w:id="16"/>
            <w:bookmarkEnd w:id="17"/>
          </w:p>
          <w:p w:rsidR="005B16D1" w:rsidRDefault="005B16D1" w:rsidP="005B16D1">
            <w:pPr>
              <w:pStyle w:val="a9"/>
              <w:ind w:firstLine="31680"/>
              <w:rPr>
                <w:rFonts w:cs="Times New Roman"/>
              </w:rPr>
            </w:pPr>
            <w:r>
              <w:rPr>
                <w:rFonts w:hint="eastAsia"/>
              </w:rPr>
              <w:t>用于储存易燃液体、可燃液体的柜体。</w:t>
            </w:r>
          </w:p>
          <w:p w:rsidR="005B16D1" w:rsidRDefault="005B16D1">
            <w:pPr>
              <w:pStyle w:val="a9"/>
              <w:ind w:firstLineChars="0" w:firstLine="0"/>
              <w:rPr>
                <w:rFonts w:cs="Times New Roman"/>
              </w:rPr>
            </w:pPr>
            <w:bookmarkStart w:id="18" w:name="_Toc14916"/>
            <w:bookmarkStart w:id="19" w:name="_Toc25024"/>
            <w:r>
              <w:t>3.3</w:t>
            </w:r>
            <w:r>
              <w:rPr>
                <w:rFonts w:hint="eastAsia"/>
              </w:rPr>
              <w:t>可燃液体储存柜</w:t>
            </w:r>
            <w:bookmarkEnd w:id="18"/>
            <w:bookmarkEnd w:id="19"/>
          </w:p>
          <w:p w:rsidR="005B16D1" w:rsidRDefault="005B16D1" w:rsidP="005B16D1">
            <w:pPr>
              <w:pStyle w:val="a9"/>
              <w:ind w:firstLine="31680"/>
              <w:rPr>
                <w:rFonts w:cs="Times New Roman"/>
              </w:rPr>
            </w:pPr>
            <w:r>
              <w:rPr>
                <w:rFonts w:hint="eastAsia"/>
              </w:rPr>
              <w:t>用于储存可燃液体的柜体。</w:t>
            </w:r>
          </w:p>
          <w:p w:rsidR="005B16D1" w:rsidRDefault="005B16D1">
            <w:pPr>
              <w:pStyle w:val="a9"/>
              <w:ind w:firstLineChars="0" w:firstLine="0"/>
              <w:rPr>
                <w:rFonts w:cs="Times New Roman"/>
              </w:rPr>
            </w:pPr>
            <w:bookmarkStart w:id="20" w:name="_Toc11655"/>
            <w:bookmarkStart w:id="21" w:name="_Toc9253"/>
            <w:r>
              <w:t>3.4</w:t>
            </w:r>
            <w:r>
              <w:rPr>
                <w:rFonts w:hint="eastAsia"/>
              </w:rPr>
              <w:t>腐蚀性液体储存柜</w:t>
            </w:r>
            <w:bookmarkEnd w:id="20"/>
            <w:bookmarkEnd w:id="21"/>
          </w:p>
          <w:p w:rsidR="005B16D1" w:rsidRDefault="005B16D1" w:rsidP="005B16D1">
            <w:pPr>
              <w:pStyle w:val="a9"/>
              <w:ind w:firstLine="31680"/>
              <w:rPr>
                <w:rFonts w:cs="Times New Roman"/>
              </w:rPr>
            </w:pPr>
            <w:r>
              <w:rPr>
                <w:rFonts w:hint="eastAsia"/>
              </w:rPr>
              <w:t>用于储存腐蚀性液体的柜体。</w:t>
            </w:r>
          </w:p>
          <w:p w:rsidR="005B16D1" w:rsidRDefault="005B16D1">
            <w:pPr>
              <w:pStyle w:val="a9"/>
              <w:ind w:firstLineChars="0" w:firstLine="0"/>
              <w:rPr>
                <w:rFonts w:cs="Times New Roman"/>
              </w:rPr>
            </w:pPr>
            <w:bookmarkStart w:id="22" w:name="_Toc8384"/>
            <w:bookmarkStart w:id="23" w:name="_Toc17803"/>
            <w:r>
              <w:t>3.5</w:t>
            </w:r>
            <w:r>
              <w:rPr>
                <w:rFonts w:hint="eastAsia"/>
              </w:rPr>
              <w:t>毒害品储存柜</w:t>
            </w:r>
            <w:bookmarkEnd w:id="22"/>
            <w:bookmarkEnd w:id="23"/>
          </w:p>
          <w:p w:rsidR="005B16D1" w:rsidRDefault="005B16D1" w:rsidP="005B16D1">
            <w:pPr>
              <w:pStyle w:val="a9"/>
              <w:ind w:firstLine="31680"/>
              <w:rPr>
                <w:rFonts w:cs="Times New Roman"/>
              </w:rPr>
            </w:pPr>
            <w:r>
              <w:rPr>
                <w:rFonts w:hint="eastAsia"/>
              </w:rPr>
              <w:t>用于储存毒害品的柜体。</w:t>
            </w:r>
          </w:p>
          <w:p w:rsidR="005B16D1" w:rsidRDefault="005B16D1">
            <w:pPr>
              <w:pStyle w:val="a9"/>
              <w:ind w:firstLineChars="0" w:firstLine="0"/>
              <w:rPr>
                <w:rFonts w:cs="Times New Roman"/>
              </w:rPr>
            </w:pPr>
            <w:bookmarkStart w:id="24" w:name="_Toc6119"/>
            <w:bookmarkStart w:id="25" w:name="_Toc19046"/>
            <w:r>
              <w:t>3.6</w:t>
            </w:r>
            <w:r>
              <w:rPr>
                <w:rFonts w:hint="eastAsia"/>
              </w:rPr>
              <w:t>压缩气体气瓶储存柜</w:t>
            </w:r>
            <w:bookmarkEnd w:id="24"/>
            <w:bookmarkEnd w:id="25"/>
          </w:p>
          <w:p w:rsidR="005B16D1" w:rsidRDefault="005B16D1" w:rsidP="005B16D1">
            <w:pPr>
              <w:pStyle w:val="a9"/>
              <w:ind w:firstLine="31680"/>
              <w:rPr>
                <w:rFonts w:cs="Times New Roman"/>
              </w:rPr>
            </w:pPr>
            <w:r>
              <w:rPr>
                <w:rFonts w:hint="eastAsia"/>
              </w:rPr>
              <w:t>用于储存压缩气体气瓶的柜体。</w:t>
            </w:r>
          </w:p>
          <w:p w:rsidR="005B16D1" w:rsidRDefault="005B16D1">
            <w:pPr>
              <w:pStyle w:val="a9"/>
              <w:ind w:firstLineChars="0" w:firstLine="0"/>
              <w:rPr>
                <w:rFonts w:cs="Times New Roman"/>
              </w:rPr>
            </w:pPr>
            <w:bookmarkStart w:id="26" w:name="_Toc27726"/>
            <w:bookmarkStart w:id="27" w:name="_Toc17536"/>
            <w:r>
              <w:t>3.7</w:t>
            </w:r>
            <w:r>
              <w:rPr>
                <w:rFonts w:hint="eastAsia"/>
              </w:rPr>
              <w:t>易燃液体</w:t>
            </w:r>
            <w:bookmarkEnd w:id="26"/>
            <w:bookmarkEnd w:id="27"/>
          </w:p>
          <w:p w:rsidR="005B16D1" w:rsidRDefault="005B16D1" w:rsidP="005B16D1">
            <w:pPr>
              <w:pStyle w:val="a9"/>
              <w:ind w:firstLine="31680"/>
              <w:rPr>
                <w:rFonts w:cs="Times New Roman"/>
              </w:rPr>
            </w:pPr>
            <w:r>
              <w:rPr>
                <w:rFonts w:hint="eastAsia"/>
              </w:rPr>
              <w:t>易燃的液体或液体混合物，或是在溶液或悬浮液中有固体的液体，其闭杯试验闪点不高于</w:t>
            </w:r>
            <w:r>
              <w:t xml:space="preserve"> 60 </w:t>
            </w:r>
            <w:r>
              <w:rPr>
                <w:rFonts w:hint="eastAsia"/>
              </w:rPr>
              <w:t>℃，或开杯试验闪点不高于</w:t>
            </w:r>
            <w:r>
              <w:t xml:space="preserve"> 65 </w:t>
            </w:r>
            <w:r>
              <w:rPr>
                <w:rFonts w:hint="eastAsia"/>
              </w:rPr>
              <w:t>℃。</w:t>
            </w:r>
          </w:p>
          <w:p w:rsidR="005B16D1" w:rsidRDefault="005B16D1">
            <w:pPr>
              <w:pStyle w:val="a9"/>
              <w:ind w:firstLineChars="0" w:firstLine="0"/>
              <w:rPr>
                <w:rFonts w:cs="Times New Roman"/>
              </w:rPr>
            </w:pPr>
            <w:bookmarkStart w:id="28" w:name="_Toc12478"/>
            <w:bookmarkStart w:id="29" w:name="_Toc31893"/>
            <w:r>
              <w:t>3.8</w:t>
            </w:r>
            <w:r>
              <w:rPr>
                <w:rFonts w:hint="eastAsia"/>
              </w:rPr>
              <w:t>可燃液体</w:t>
            </w:r>
            <w:bookmarkEnd w:id="28"/>
            <w:bookmarkEnd w:id="29"/>
          </w:p>
          <w:p w:rsidR="005B16D1" w:rsidRDefault="005B16D1" w:rsidP="005B16D1">
            <w:pPr>
              <w:pStyle w:val="a9"/>
              <w:ind w:firstLine="31680"/>
              <w:rPr>
                <w:rFonts w:cs="Times New Roman"/>
              </w:rPr>
            </w:pPr>
            <w:bookmarkStart w:id="30" w:name="_Toc4982"/>
            <w:bookmarkStart w:id="31" w:name="_Toc23890"/>
            <w:r>
              <w:rPr>
                <w:rFonts w:hint="eastAsia"/>
              </w:rPr>
              <w:t>可燃的液体或液体混合物，或是在溶液或悬浮液中有固体的液体，其闭杯试验闪点高于</w:t>
            </w:r>
            <w:r>
              <w:t xml:space="preserve">60 </w:t>
            </w:r>
            <w:r>
              <w:rPr>
                <w:rFonts w:hint="eastAsia"/>
              </w:rPr>
              <w:t>℃，或开杯试验闪点高于</w:t>
            </w:r>
            <w:r>
              <w:t xml:space="preserve">65 </w:t>
            </w:r>
            <w:r>
              <w:rPr>
                <w:rFonts w:hint="eastAsia"/>
              </w:rPr>
              <w:t>℃。</w:t>
            </w:r>
          </w:p>
          <w:p w:rsidR="005B16D1" w:rsidRDefault="005B16D1">
            <w:pPr>
              <w:pStyle w:val="a9"/>
              <w:ind w:firstLineChars="0" w:firstLine="0"/>
              <w:rPr>
                <w:rFonts w:cs="Times New Roman"/>
              </w:rPr>
            </w:pPr>
            <w:r>
              <w:t>3.9</w:t>
            </w:r>
            <w:r>
              <w:rPr>
                <w:rFonts w:hint="eastAsia"/>
              </w:rPr>
              <w:t>腐蚀性液体</w:t>
            </w:r>
            <w:bookmarkEnd w:id="30"/>
            <w:bookmarkEnd w:id="31"/>
          </w:p>
          <w:p w:rsidR="005B16D1" w:rsidRDefault="005B16D1" w:rsidP="005B16D1">
            <w:pPr>
              <w:pStyle w:val="a9"/>
              <w:ind w:firstLine="31680"/>
              <w:rPr>
                <w:rFonts w:cs="Times New Roman"/>
              </w:rPr>
            </w:pPr>
            <w:r>
              <w:rPr>
                <w:rFonts w:hint="eastAsia"/>
              </w:rPr>
              <w:t>通过化学作用、使生物组织接触时会造成严重损伤，或在渗漏时会严重损害甚至毁坏其他货物或运载工具的液体。</w:t>
            </w:r>
          </w:p>
          <w:p w:rsidR="005B16D1" w:rsidRDefault="005B16D1">
            <w:pPr>
              <w:pStyle w:val="a9"/>
              <w:ind w:firstLineChars="0" w:firstLine="0"/>
              <w:rPr>
                <w:rFonts w:cs="Times New Roman"/>
              </w:rPr>
            </w:pPr>
            <w:bookmarkStart w:id="32" w:name="_Toc16606"/>
            <w:bookmarkStart w:id="33" w:name="_Toc26405"/>
            <w:r>
              <w:t>3.10</w:t>
            </w:r>
            <w:r>
              <w:rPr>
                <w:rFonts w:hint="eastAsia"/>
              </w:rPr>
              <w:t>毒害品</w:t>
            </w:r>
            <w:bookmarkEnd w:id="32"/>
            <w:bookmarkEnd w:id="33"/>
          </w:p>
          <w:p w:rsidR="005B16D1" w:rsidRDefault="005B16D1" w:rsidP="005B16D1">
            <w:pPr>
              <w:pStyle w:val="a9"/>
              <w:ind w:firstLine="31680"/>
              <w:rPr>
                <w:rFonts w:hAnsi="宋体" w:cs="Times New Roman"/>
              </w:rPr>
            </w:pPr>
            <w:bookmarkStart w:id="34" w:name="_Toc5334"/>
            <w:bookmarkStart w:id="35" w:name="_Toc25298"/>
            <w:r>
              <w:rPr>
                <w:rFonts w:hint="eastAsia"/>
              </w:rPr>
              <w:t>经吞食、吸入或与皮肤接触后可能造成死亡或严重受伤或损害人类健康的物质，不包括剧毒品。</w:t>
            </w:r>
          </w:p>
          <w:p w:rsidR="005B16D1" w:rsidRDefault="005B16D1">
            <w:pPr>
              <w:pStyle w:val="a9"/>
              <w:ind w:firstLineChars="0" w:firstLine="0"/>
              <w:rPr>
                <w:rFonts w:cs="Times New Roman"/>
              </w:rPr>
            </w:pPr>
            <w:r>
              <w:t>3.11</w:t>
            </w:r>
            <w:r>
              <w:rPr>
                <w:rFonts w:hint="eastAsia"/>
              </w:rPr>
              <w:t>压缩气体气瓶</w:t>
            </w:r>
            <w:bookmarkEnd w:id="34"/>
            <w:bookmarkEnd w:id="35"/>
          </w:p>
          <w:p w:rsidR="005B16D1" w:rsidRDefault="005B16D1" w:rsidP="005B16D1">
            <w:pPr>
              <w:pStyle w:val="a9"/>
              <w:ind w:firstLine="31680"/>
              <w:rPr>
                <w:rFonts w:hAnsi="宋体" w:cs="Times New Roman"/>
                <w:color w:val="FF0000"/>
              </w:rPr>
            </w:pPr>
            <w:r>
              <w:rPr>
                <w:rFonts w:hint="eastAsia"/>
              </w:rPr>
              <w:t>压缩气体气瓶按照公称压力分为高压气瓶、低压气瓶，高压气瓶是指公称工作压力大于或者等于</w:t>
            </w:r>
            <w:r>
              <w:t>10 MPa</w:t>
            </w:r>
            <w:r>
              <w:rPr>
                <w:rFonts w:hint="eastAsia"/>
              </w:rPr>
              <w:t>的气瓶，低压气瓶是指公称工作压力小于</w:t>
            </w:r>
            <w:r>
              <w:t>10 MPa</w:t>
            </w:r>
            <w:r>
              <w:rPr>
                <w:rFonts w:hint="eastAsia"/>
              </w:rPr>
              <w:t>的气瓶。</w:t>
            </w:r>
          </w:p>
        </w:tc>
        <w:tc>
          <w:tcPr>
            <w:tcW w:w="5825" w:type="dxa"/>
          </w:tcPr>
          <w:p w:rsidR="005B16D1" w:rsidRDefault="005B16D1">
            <w:pPr>
              <w:jc w:val="left"/>
              <w:rPr>
                <w:rFonts w:ascii="宋体" w:cs="Times New Roman"/>
              </w:rPr>
            </w:pPr>
            <w:r>
              <w:rPr>
                <w:rFonts w:ascii="宋体" w:hAnsi="宋体" w:cs="宋体"/>
              </w:rPr>
              <w:t>3.1</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1.9</w:t>
            </w:r>
            <w:r>
              <w:rPr>
                <w:rFonts w:ascii="宋体" w:hAnsi="宋体" w:cs="宋体" w:hint="eastAsia"/>
              </w:rPr>
              <w:t>节；</w:t>
            </w:r>
          </w:p>
          <w:p w:rsidR="005B16D1" w:rsidRDefault="005B16D1">
            <w:pPr>
              <w:jc w:val="left"/>
              <w:rPr>
                <w:rFonts w:ascii="宋体" w:cs="Times New Roman"/>
              </w:rPr>
            </w:pPr>
            <w:r>
              <w:rPr>
                <w:rFonts w:ascii="宋体" w:hAnsi="宋体" w:cs="宋体"/>
              </w:rPr>
              <w:t>3.2</w:t>
            </w:r>
            <w:r>
              <w:rPr>
                <w:rFonts w:ascii="宋体" w:hAnsi="宋体" w:cs="宋体" w:hint="eastAsia"/>
              </w:rPr>
              <w:t>～</w:t>
            </w:r>
            <w:r>
              <w:rPr>
                <w:rFonts w:ascii="宋体" w:hAnsi="宋体" w:cs="宋体"/>
              </w:rPr>
              <w:t>3.6</w:t>
            </w:r>
            <w:r>
              <w:rPr>
                <w:rFonts w:ascii="宋体" w:hAnsi="宋体" w:cs="宋体" w:hint="eastAsia"/>
              </w:rPr>
              <w:t>创新；</w:t>
            </w:r>
          </w:p>
          <w:p w:rsidR="005B16D1" w:rsidRDefault="005B16D1">
            <w:pPr>
              <w:jc w:val="left"/>
              <w:rPr>
                <w:rFonts w:ascii="宋体" w:cs="Times New Roman"/>
              </w:rPr>
            </w:pPr>
            <w:r>
              <w:rPr>
                <w:rFonts w:ascii="宋体" w:hAnsi="宋体" w:cs="宋体"/>
              </w:rPr>
              <w:t>3.7</w:t>
            </w:r>
            <w:r>
              <w:rPr>
                <w:rFonts w:ascii="宋体" w:hAnsi="宋体" w:cs="宋体" w:hint="eastAsia"/>
              </w:rPr>
              <w:t>《危险货物分类和品名编号》（</w:t>
            </w:r>
            <w:r>
              <w:rPr>
                <w:rFonts w:ascii="宋体" w:hAnsi="宋体" w:cs="宋体"/>
              </w:rPr>
              <w:t>GB 6944-2012</w:t>
            </w:r>
            <w:r>
              <w:rPr>
                <w:rFonts w:ascii="宋体" w:hAnsi="宋体" w:cs="宋体" w:hint="eastAsia"/>
              </w:rPr>
              <w:t>）第</w:t>
            </w:r>
            <w:r>
              <w:rPr>
                <w:rFonts w:ascii="宋体" w:hAnsi="宋体" w:cs="宋体"/>
              </w:rPr>
              <w:t>4.4.1.1</w:t>
            </w:r>
            <w:r>
              <w:rPr>
                <w:rFonts w:ascii="宋体" w:hAnsi="宋体" w:cs="宋体" w:hint="eastAsia"/>
              </w:rPr>
              <w:t>节，《化学品分类和标签规范</w:t>
            </w:r>
            <w:r>
              <w:rPr>
                <w:rFonts w:ascii="宋体" w:hAnsi="宋体" w:cs="宋体"/>
              </w:rPr>
              <w:t xml:space="preserve"> </w:t>
            </w:r>
            <w:r>
              <w:rPr>
                <w:rFonts w:ascii="宋体" w:hAnsi="宋体" w:cs="宋体" w:hint="eastAsia"/>
              </w:rPr>
              <w:t>第</w:t>
            </w:r>
            <w:r>
              <w:rPr>
                <w:rFonts w:ascii="宋体" w:hAnsi="宋体" w:cs="宋体"/>
              </w:rPr>
              <w:t>3</w:t>
            </w:r>
            <w:r>
              <w:rPr>
                <w:rFonts w:ascii="宋体" w:hAnsi="宋体" w:cs="宋体" w:hint="eastAsia"/>
              </w:rPr>
              <w:t>部分：易燃气体》（</w:t>
            </w:r>
            <w:r>
              <w:rPr>
                <w:rFonts w:ascii="宋体" w:hAnsi="宋体" w:cs="宋体"/>
              </w:rPr>
              <w:t>GB 30000.3-2013</w:t>
            </w:r>
            <w:r>
              <w:rPr>
                <w:rFonts w:ascii="宋体" w:hAnsi="宋体" w:cs="宋体" w:hint="eastAsia"/>
              </w:rPr>
              <w:t>）第</w:t>
            </w:r>
            <w:r>
              <w:rPr>
                <w:rFonts w:ascii="宋体" w:hAnsi="宋体" w:cs="宋体"/>
              </w:rPr>
              <w:t>3.1</w:t>
            </w:r>
            <w:r>
              <w:rPr>
                <w:rFonts w:ascii="宋体" w:hAnsi="宋体" w:cs="宋体" w:hint="eastAsia"/>
              </w:rPr>
              <w:t>节、第</w:t>
            </w:r>
            <w:r>
              <w:rPr>
                <w:rFonts w:ascii="宋体" w:hAnsi="宋体" w:cs="宋体"/>
              </w:rPr>
              <w:t>4</w:t>
            </w:r>
            <w:r>
              <w:rPr>
                <w:rFonts w:ascii="宋体" w:hAnsi="宋体" w:cs="宋体" w:hint="eastAsia"/>
              </w:rPr>
              <w:t>节，《化学品分类和标签规范</w:t>
            </w:r>
            <w:r>
              <w:rPr>
                <w:rFonts w:ascii="宋体" w:hAnsi="宋体" w:cs="宋体"/>
              </w:rPr>
              <w:t xml:space="preserve"> </w:t>
            </w:r>
            <w:r>
              <w:rPr>
                <w:rFonts w:ascii="宋体" w:hAnsi="宋体" w:cs="宋体" w:hint="eastAsia"/>
              </w:rPr>
              <w:t>第</w:t>
            </w:r>
            <w:r>
              <w:rPr>
                <w:rFonts w:ascii="宋体" w:hAnsi="宋体" w:cs="宋体"/>
              </w:rPr>
              <w:t>7</w:t>
            </w:r>
            <w:r>
              <w:rPr>
                <w:rFonts w:ascii="宋体" w:hAnsi="宋体" w:cs="宋体" w:hint="eastAsia"/>
              </w:rPr>
              <w:t>部分：易燃液体》（</w:t>
            </w:r>
            <w:r>
              <w:rPr>
                <w:rFonts w:ascii="宋体" w:hAnsi="宋体" w:cs="宋体"/>
              </w:rPr>
              <w:t>GB 30000.7-2013</w:t>
            </w:r>
            <w:r>
              <w:rPr>
                <w:rFonts w:ascii="宋体" w:hAnsi="宋体" w:cs="宋体" w:hint="eastAsia"/>
              </w:rPr>
              <w:t>）第</w:t>
            </w:r>
            <w:r>
              <w:rPr>
                <w:rFonts w:ascii="宋体" w:hAnsi="宋体" w:cs="宋体"/>
              </w:rPr>
              <w:t>4</w:t>
            </w:r>
            <w:r>
              <w:rPr>
                <w:rFonts w:ascii="宋体" w:hAnsi="宋体" w:cs="宋体" w:hint="eastAsia"/>
              </w:rPr>
              <w:t>节；</w:t>
            </w:r>
          </w:p>
          <w:p w:rsidR="005B16D1" w:rsidRDefault="005B16D1">
            <w:pPr>
              <w:jc w:val="left"/>
              <w:rPr>
                <w:rFonts w:ascii="宋体" w:cs="Times New Roman"/>
              </w:rPr>
            </w:pPr>
            <w:r>
              <w:rPr>
                <w:rFonts w:ascii="宋体" w:hAnsi="宋体" w:cs="宋体"/>
              </w:rPr>
              <w:t>3.8</w:t>
            </w:r>
            <w:r>
              <w:rPr>
                <w:rFonts w:ascii="宋体" w:hAnsi="宋体" w:cs="宋体" w:hint="eastAsia"/>
              </w:rPr>
              <w:t>创新；</w:t>
            </w:r>
          </w:p>
          <w:p w:rsidR="005B16D1" w:rsidRDefault="005B16D1">
            <w:pPr>
              <w:jc w:val="left"/>
              <w:rPr>
                <w:rFonts w:ascii="宋体" w:cs="Times New Roman"/>
              </w:rPr>
            </w:pPr>
            <w:r>
              <w:rPr>
                <w:rFonts w:ascii="宋体" w:hAnsi="宋体" w:cs="宋体"/>
              </w:rPr>
              <w:t>3.9</w:t>
            </w:r>
            <w:r>
              <w:rPr>
                <w:rFonts w:ascii="宋体" w:hAnsi="宋体" w:cs="宋体" w:hint="eastAsia"/>
              </w:rPr>
              <w:t>《化学品分类和标签规范</w:t>
            </w:r>
            <w:r>
              <w:rPr>
                <w:rFonts w:ascii="宋体" w:hAnsi="宋体" w:cs="宋体"/>
              </w:rPr>
              <w:t xml:space="preserve"> </w:t>
            </w:r>
            <w:r>
              <w:rPr>
                <w:rFonts w:ascii="宋体" w:hAnsi="宋体" w:cs="宋体" w:hint="eastAsia"/>
              </w:rPr>
              <w:t>第</w:t>
            </w:r>
            <w:r>
              <w:rPr>
                <w:rFonts w:ascii="宋体" w:hAnsi="宋体" w:cs="宋体"/>
              </w:rPr>
              <w:t>19</w:t>
            </w:r>
            <w:r>
              <w:rPr>
                <w:rFonts w:ascii="宋体" w:hAnsi="宋体" w:cs="宋体" w:hint="eastAsia"/>
              </w:rPr>
              <w:t>部分：皮肤腐蚀</w:t>
            </w:r>
            <w:r>
              <w:rPr>
                <w:rFonts w:ascii="宋体" w:hAnsi="宋体" w:cs="宋体"/>
              </w:rPr>
              <w:t>/</w:t>
            </w:r>
            <w:r>
              <w:rPr>
                <w:rFonts w:ascii="宋体" w:hAnsi="宋体" w:cs="宋体" w:hint="eastAsia"/>
              </w:rPr>
              <w:t>刺激》（</w:t>
            </w:r>
            <w:r>
              <w:rPr>
                <w:rFonts w:ascii="宋体" w:hAnsi="宋体" w:cs="宋体"/>
              </w:rPr>
              <w:t>GB 30000.19-2013</w:t>
            </w:r>
            <w:r>
              <w:rPr>
                <w:rFonts w:ascii="宋体" w:hAnsi="宋体" w:cs="宋体" w:hint="eastAsia"/>
              </w:rPr>
              <w:t>）第</w:t>
            </w:r>
            <w:r>
              <w:rPr>
                <w:rFonts w:ascii="宋体" w:hAnsi="宋体" w:cs="宋体"/>
              </w:rPr>
              <w:t>3</w:t>
            </w:r>
            <w:r>
              <w:rPr>
                <w:rFonts w:ascii="宋体" w:hAnsi="宋体" w:cs="宋体" w:hint="eastAsia"/>
              </w:rPr>
              <w:t>节、第</w:t>
            </w:r>
            <w:r>
              <w:rPr>
                <w:rFonts w:ascii="宋体" w:hAnsi="宋体" w:cs="宋体"/>
              </w:rPr>
              <w:t>4</w:t>
            </w:r>
            <w:r>
              <w:rPr>
                <w:rFonts w:ascii="宋体" w:hAnsi="宋体" w:cs="宋体" w:hint="eastAsia"/>
              </w:rPr>
              <w:t>节；</w:t>
            </w:r>
          </w:p>
          <w:p w:rsidR="005B16D1" w:rsidRDefault="005B16D1">
            <w:pPr>
              <w:pStyle w:val="a9"/>
              <w:ind w:firstLineChars="0" w:firstLine="0"/>
              <w:rPr>
                <w:rFonts w:hAnsi="宋体" w:cs="Times New Roman"/>
              </w:rPr>
            </w:pPr>
            <w:r>
              <w:rPr>
                <w:rFonts w:hAnsi="宋体"/>
              </w:rPr>
              <w:t>3.10</w:t>
            </w:r>
            <w:r>
              <w:rPr>
                <w:rFonts w:hAnsi="宋体" w:hint="eastAsia"/>
              </w:rPr>
              <w:t>《化学品分类和标签规范</w:t>
            </w:r>
            <w:r>
              <w:rPr>
                <w:rFonts w:hAnsi="宋体"/>
              </w:rPr>
              <w:t xml:space="preserve"> </w:t>
            </w:r>
            <w:r>
              <w:rPr>
                <w:rFonts w:hAnsi="宋体" w:hint="eastAsia"/>
              </w:rPr>
              <w:t>第</w:t>
            </w:r>
            <w:r>
              <w:rPr>
                <w:rFonts w:hAnsi="宋体"/>
              </w:rPr>
              <w:t>18</w:t>
            </w:r>
            <w:r>
              <w:rPr>
                <w:rFonts w:hAnsi="宋体" w:hint="eastAsia"/>
              </w:rPr>
              <w:t>部分：急性毒性》（</w:t>
            </w:r>
            <w:r>
              <w:rPr>
                <w:rFonts w:hAnsi="宋体"/>
              </w:rPr>
              <w:t>GB 30000.18-2013</w:t>
            </w:r>
            <w:r>
              <w:rPr>
                <w:rFonts w:hAnsi="宋体" w:hint="eastAsia"/>
              </w:rPr>
              <w:t>）第</w:t>
            </w:r>
            <w:r>
              <w:rPr>
                <w:rFonts w:hAnsi="宋体"/>
              </w:rPr>
              <w:t>4</w:t>
            </w:r>
            <w:r>
              <w:rPr>
                <w:rFonts w:hAnsi="宋体" w:hint="eastAsia"/>
              </w:rPr>
              <w:t>节，《</w:t>
            </w:r>
            <w:r>
              <w:rPr>
                <w:rFonts w:hint="eastAsia"/>
              </w:rPr>
              <w:t>危险货物分类和品名编号</w:t>
            </w:r>
            <w:r>
              <w:rPr>
                <w:rFonts w:hAnsi="宋体" w:hint="eastAsia"/>
              </w:rPr>
              <w:t>》（</w:t>
            </w:r>
            <w:r>
              <w:rPr>
                <w:rFonts w:hAnsi="宋体"/>
              </w:rPr>
              <w:t>GB 6944-2012</w:t>
            </w:r>
            <w:r>
              <w:rPr>
                <w:rFonts w:hAnsi="宋体" w:hint="eastAsia"/>
              </w:rPr>
              <w:t>）第</w:t>
            </w:r>
            <w:r>
              <w:rPr>
                <w:rFonts w:hAnsi="宋体"/>
              </w:rPr>
              <w:t>4.7.2.1.1</w:t>
            </w:r>
            <w:r>
              <w:rPr>
                <w:rFonts w:hAnsi="宋体" w:hint="eastAsia"/>
              </w:rPr>
              <w:t>节；</w:t>
            </w:r>
          </w:p>
          <w:p w:rsidR="005B16D1" w:rsidRDefault="005B16D1">
            <w:pPr>
              <w:jc w:val="left"/>
              <w:rPr>
                <w:rFonts w:ascii="宋体" w:cs="Times New Roman"/>
              </w:rPr>
            </w:pPr>
            <w:r>
              <w:rPr>
                <w:rFonts w:ascii="宋体" w:hAnsi="宋体" w:cs="宋体"/>
              </w:rPr>
              <w:t>3.11</w:t>
            </w:r>
            <w:r>
              <w:rPr>
                <w:rFonts w:ascii="宋体" w:hAnsi="宋体" w:cs="宋体" w:hint="eastAsia"/>
              </w:rPr>
              <w:t>《化学品分类和标签规范</w:t>
            </w:r>
            <w:r>
              <w:rPr>
                <w:rFonts w:ascii="宋体" w:hAnsi="宋体" w:cs="宋体"/>
              </w:rPr>
              <w:t xml:space="preserve"> </w:t>
            </w:r>
            <w:r>
              <w:rPr>
                <w:rFonts w:ascii="宋体" w:hAnsi="宋体" w:cs="宋体" w:hint="eastAsia"/>
              </w:rPr>
              <w:t>第</w:t>
            </w:r>
            <w:r>
              <w:rPr>
                <w:rFonts w:ascii="宋体" w:hAnsi="宋体" w:cs="宋体"/>
              </w:rPr>
              <w:t>6</w:t>
            </w:r>
            <w:r>
              <w:rPr>
                <w:rFonts w:ascii="宋体" w:hAnsi="宋体" w:cs="宋体" w:hint="eastAsia"/>
              </w:rPr>
              <w:t>部分：加压气体》（</w:t>
            </w:r>
            <w:r>
              <w:rPr>
                <w:rFonts w:ascii="宋体" w:hAnsi="宋体" w:cs="宋体"/>
              </w:rPr>
              <w:t>GB 30000.6-2013</w:t>
            </w:r>
            <w:r>
              <w:rPr>
                <w:rFonts w:ascii="宋体" w:hAnsi="宋体" w:cs="宋体" w:hint="eastAsia"/>
              </w:rPr>
              <w:t>）第</w:t>
            </w:r>
            <w:r>
              <w:rPr>
                <w:rFonts w:ascii="宋体" w:hAnsi="宋体" w:cs="宋体"/>
              </w:rPr>
              <w:t>3.1</w:t>
            </w:r>
            <w:r>
              <w:rPr>
                <w:rFonts w:ascii="宋体" w:hAnsi="宋体" w:cs="宋体" w:hint="eastAsia"/>
              </w:rPr>
              <w:t>节、第</w:t>
            </w:r>
            <w:r>
              <w:rPr>
                <w:rFonts w:ascii="宋体" w:hAnsi="宋体" w:cs="宋体"/>
              </w:rPr>
              <w:t>4</w:t>
            </w:r>
            <w:r>
              <w:rPr>
                <w:rFonts w:ascii="宋体" w:hAnsi="宋体" w:cs="宋体" w:hint="eastAsia"/>
              </w:rPr>
              <w:t>节，</w:t>
            </w:r>
            <w:r>
              <w:rPr>
                <w:rFonts w:ascii="宋体" w:hAnsi="宋体" w:cs="宋体" w:hint="eastAsia"/>
                <w:color w:val="000000"/>
              </w:rPr>
              <w:t>《危险货物分类和品名编号》（</w:t>
            </w:r>
            <w:r>
              <w:rPr>
                <w:rFonts w:ascii="宋体" w:hAnsi="宋体" w:cs="宋体"/>
                <w:color w:val="000000"/>
              </w:rPr>
              <w:t>GB 6944-2012</w:t>
            </w:r>
            <w:r>
              <w:rPr>
                <w:rFonts w:ascii="宋体" w:hAnsi="宋体" w:cs="宋体" w:hint="eastAsia"/>
                <w:color w:val="000000"/>
              </w:rPr>
              <w:t>）第</w:t>
            </w:r>
            <w:r>
              <w:rPr>
                <w:rFonts w:ascii="宋体" w:hAnsi="宋体" w:cs="宋体"/>
                <w:color w:val="000000"/>
              </w:rPr>
              <w:t>4.3</w:t>
            </w:r>
            <w:r>
              <w:rPr>
                <w:rFonts w:ascii="宋体" w:hAnsi="宋体" w:cs="宋体" w:hint="eastAsia"/>
                <w:color w:val="000000"/>
              </w:rPr>
              <w:t>节；</w:t>
            </w:r>
          </w:p>
          <w:p w:rsidR="005B16D1" w:rsidRDefault="005B16D1">
            <w:pPr>
              <w:jc w:val="left"/>
              <w:rPr>
                <w:rFonts w:ascii="宋体" w:cs="Times New Roman"/>
                <w:color w:val="FF0000"/>
              </w:rPr>
            </w:pPr>
          </w:p>
        </w:tc>
        <w:tc>
          <w:tcPr>
            <w:tcW w:w="1162" w:type="dxa"/>
          </w:tcPr>
          <w:p w:rsidR="005B16D1" w:rsidRDefault="005B16D1">
            <w:pPr>
              <w:spacing w:line="360" w:lineRule="auto"/>
              <w:jc w:val="center"/>
              <w:rPr>
                <w:rFonts w:ascii="宋体" w:cs="Times New Roman"/>
                <w:color w:val="FF0000"/>
              </w:rPr>
            </w:pPr>
          </w:p>
        </w:tc>
      </w:tr>
      <w:tr w:rsidR="005B16D1">
        <w:tc>
          <w:tcPr>
            <w:tcW w:w="881" w:type="dxa"/>
          </w:tcPr>
          <w:p w:rsidR="005B16D1" w:rsidRDefault="005B16D1">
            <w:pPr>
              <w:spacing w:line="480" w:lineRule="auto"/>
              <w:jc w:val="center"/>
              <w:rPr>
                <w:rFonts w:ascii="宋体" w:cs="Times New Roman"/>
              </w:rPr>
            </w:pPr>
            <w:r>
              <w:rPr>
                <w:rFonts w:ascii="宋体" w:hAnsi="宋体" w:cs="宋体"/>
              </w:rPr>
              <w:t>3</w:t>
            </w:r>
          </w:p>
        </w:tc>
        <w:tc>
          <w:tcPr>
            <w:tcW w:w="1456" w:type="dxa"/>
          </w:tcPr>
          <w:p w:rsidR="005B16D1" w:rsidRDefault="005B16D1">
            <w:pPr>
              <w:pStyle w:val="a3"/>
              <w:numPr>
                <w:ilvl w:val="0"/>
                <w:numId w:val="0"/>
              </w:numPr>
              <w:spacing w:before="156" w:after="156" w:line="264" w:lineRule="auto"/>
              <w:jc w:val="center"/>
              <w:rPr>
                <w:rFonts w:ascii="宋体" w:eastAsia="宋体" w:hAnsi="宋体" w:cs="Times New Roman"/>
              </w:rPr>
            </w:pPr>
            <w:bookmarkStart w:id="36" w:name="_Toc7969035"/>
            <w:r>
              <w:rPr>
                <w:rFonts w:ascii="宋体" w:eastAsia="宋体" w:hAnsi="宋体" w:cs="宋体"/>
              </w:rPr>
              <w:t xml:space="preserve">4  </w:t>
            </w:r>
            <w:r>
              <w:rPr>
                <w:rFonts w:ascii="宋体" w:eastAsia="宋体" w:hAnsi="宋体" w:cs="宋体" w:hint="eastAsia"/>
              </w:rPr>
              <w:t>危险化学品储存柜分类、标记、标签和规格</w:t>
            </w:r>
            <w:bookmarkEnd w:id="36"/>
          </w:p>
          <w:p w:rsidR="005B16D1" w:rsidRDefault="005B16D1">
            <w:pPr>
              <w:pStyle w:val="a3"/>
              <w:numPr>
                <w:ilvl w:val="0"/>
                <w:numId w:val="0"/>
              </w:numPr>
              <w:spacing w:before="156" w:after="156" w:line="264" w:lineRule="auto"/>
              <w:rPr>
                <w:rFonts w:ascii="宋体" w:eastAsia="宋体" w:hAnsi="宋体" w:cs="Times New Roman"/>
              </w:rPr>
            </w:pPr>
          </w:p>
          <w:p w:rsidR="005B16D1" w:rsidRDefault="005B16D1">
            <w:pPr>
              <w:spacing w:line="360" w:lineRule="auto"/>
              <w:jc w:val="center"/>
              <w:rPr>
                <w:rFonts w:ascii="宋体" w:cs="Times New Roman"/>
              </w:rPr>
            </w:pPr>
          </w:p>
        </w:tc>
        <w:tc>
          <w:tcPr>
            <w:tcW w:w="5075" w:type="dxa"/>
          </w:tcPr>
          <w:p w:rsidR="005B16D1" w:rsidRDefault="005B16D1">
            <w:pPr>
              <w:pStyle w:val="a9"/>
              <w:ind w:firstLineChars="0" w:firstLine="0"/>
              <w:rPr>
                <w:rFonts w:cs="Times New Roman"/>
              </w:rPr>
            </w:pPr>
            <w:r>
              <w:t xml:space="preserve">4.1 </w:t>
            </w:r>
            <w:r>
              <w:rPr>
                <w:rFonts w:hint="eastAsia"/>
              </w:rPr>
              <w:t>分类</w:t>
            </w:r>
          </w:p>
          <w:p w:rsidR="005B16D1" w:rsidRDefault="005B16D1" w:rsidP="005B16D1">
            <w:pPr>
              <w:pStyle w:val="a9"/>
              <w:ind w:firstLine="31680"/>
              <w:rPr>
                <w:rFonts w:cs="Times New Roman"/>
              </w:rPr>
            </w:pPr>
            <w:r>
              <w:rPr>
                <w:rFonts w:hint="eastAsia"/>
              </w:rPr>
              <w:t>按用途分为易燃液体储存柜、可燃液体储存柜、腐蚀性液体储存柜、毒害品储存柜、压缩气体气瓶储存柜，并相应规定了五种储存柜柜体的基本识别色及色样，见下表</w:t>
            </w:r>
            <w:r>
              <w:t>1</w:t>
            </w:r>
            <w:r>
              <w:rPr>
                <w:rFonts w:hint="eastAsia"/>
              </w:rPr>
              <w:t>。</w:t>
            </w:r>
          </w:p>
          <w:p w:rsidR="005B16D1" w:rsidRDefault="005B16D1" w:rsidP="005B16D1">
            <w:pPr>
              <w:pStyle w:val="a9"/>
              <w:ind w:firstLine="31680"/>
              <w:rPr>
                <w:rFonts w:cs="Times New Roman"/>
                <w:sz w:val="18"/>
                <w:szCs w:val="18"/>
              </w:rPr>
            </w:pPr>
            <w:r>
              <w:rPr>
                <w:rFonts w:hint="eastAsia"/>
                <w:sz w:val="18"/>
                <w:szCs w:val="18"/>
              </w:rPr>
              <w:t>表</w:t>
            </w:r>
            <w:r>
              <w:rPr>
                <w:sz w:val="18"/>
                <w:szCs w:val="18"/>
              </w:rPr>
              <w:t xml:space="preserve">1  </w:t>
            </w:r>
            <w:r>
              <w:rPr>
                <w:rFonts w:hint="eastAsia"/>
                <w:sz w:val="18"/>
                <w:szCs w:val="18"/>
              </w:rPr>
              <w:t>危险化学品储存柜柜体的基本识别色和色样</w:t>
            </w:r>
          </w:p>
          <w:p w:rsidR="005B16D1" w:rsidRDefault="005B16D1" w:rsidP="005B16D1">
            <w:pPr>
              <w:pStyle w:val="a9"/>
              <w:ind w:firstLine="31680"/>
              <w:rPr>
                <w:rFonts w:cs="Times New Roman"/>
              </w:rPr>
            </w:pPr>
            <w:r w:rsidRPr="00C05F22">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微信图片_20190725163719" style="width:202.5pt;height:64.5pt;visibility:visible">
                  <v:imagedata r:id="rId8" o:title=""/>
                </v:shape>
              </w:pict>
            </w:r>
          </w:p>
          <w:p w:rsidR="005B16D1" w:rsidRDefault="005B16D1">
            <w:pPr>
              <w:pStyle w:val="a9"/>
              <w:ind w:firstLineChars="0" w:firstLine="0"/>
              <w:rPr>
                <w:rFonts w:cs="Times New Roman"/>
              </w:rPr>
            </w:pPr>
            <w:r>
              <w:t xml:space="preserve">4.2 </w:t>
            </w:r>
            <w:r>
              <w:rPr>
                <w:rFonts w:hint="eastAsia"/>
              </w:rPr>
              <w:t>标记</w:t>
            </w:r>
          </w:p>
          <w:p w:rsidR="005B16D1" w:rsidRDefault="005B16D1" w:rsidP="005B16D1">
            <w:pPr>
              <w:pStyle w:val="a9"/>
              <w:ind w:firstLine="31680"/>
              <w:rPr>
                <w:rFonts w:cs="Times New Roman"/>
              </w:rPr>
            </w:pPr>
            <w:r>
              <w:rPr>
                <w:rFonts w:hint="eastAsia"/>
              </w:rPr>
              <w:t>危险化学品储存柜按下述方式进行标记，属于非标产品的在后面注明：</w:t>
            </w:r>
          </w:p>
          <w:p w:rsidR="005B16D1" w:rsidRDefault="005B16D1" w:rsidP="005B16D1">
            <w:pPr>
              <w:pStyle w:val="a9"/>
              <w:ind w:firstLine="31680"/>
              <w:jc w:val="center"/>
              <w:rPr>
                <w:rFonts w:cs="Times New Roman"/>
              </w:rPr>
            </w:pPr>
            <w:r w:rsidRPr="00C05F22">
              <w:rPr>
                <w:rFonts w:cs="Times New Roman"/>
                <w:noProof/>
              </w:rPr>
              <w:pict>
                <v:shape id="图片 8" o:spid="_x0000_i1026" type="#_x0000_t75" style="width:164.25pt;height:87pt;visibility:visible">
                  <v:imagedata r:id="rId9" o:title=""/>
                </v:shape>
              </w:pict>
            </w:r>
          </w:p>
          <w:p w:rsidR="005B16D1" w:rsidRDefault="005B16D1" w:rsidP="005B16D1">
            <w:pPr>
              <w:pStyle w:val="a9"/>
              <w:ind w:firstLine="31680"/>
              <w:rPr>
                <w:rFonts w:cs="Times New Roman"/>
              </w:rPr>
            </w:pPr>
            <w:r>
              <w:rPr>
                <w:rFonts w:hint="eastAsia"/>
              </w:rPr>
              <w:t>示例：</w:t>
            </w:r>
          </w:p>
          <w:p w:rsidR="005B16D1" w:rsidRDefault="005B16D1" w:rsidP="005B16D1">
            <w:pPr>
              <w:pStyle w:val="a9"/>
              <w:ind w:firstLine="31680"/>
            </w:pPr>
            <w:r>
              <w:t>WHPG-Y-45</w:t>
            </w:r>
          </w:p>
          <w:p w:rsidR="005B16D1" w:rsidRDefault="005B16D1" w:rsidP="005B16D1">
            <w:pPr>
              <w:pStyle w:val="a9"/>
              <w:ind w:firstLine="31680"/>
              <w:rPr>
                <w:rFonts w:cs="Times New Roman"/>
              </w:rPr>
            </w:pPr>
            <w:r>
              <w:rPr>
                <w:rFonts w:hint="eastAsia"/>
              </w:rPr>
              <w:t>体积为</w:t>
            </w:r>
            <w:r>
              <w:t>45L</w:t>
            </w:r>
            <w:r>
              <w:rPr>
                <w:rFonts w:hint="eastAsia"/>
              </w:rPr>
              <w:t>的易燃液体储存柜</w:t>
            </w:r>
          </w:p>
          <w:p w:rsidR="005B16D1" w:rsidRDefault="005B16D1" w:rsidP="005B16D1">
            <w:pPr>
              <w:pStyle w:val="a9"/>
              <w:ind w:firstLine="31680"/>
              <w:rPr>
                <w:rFonts w:cs="Times New Roman"/>
              </w:rPr>
            </w:pPr>
            <w:r>
              <w:t>WHPG-K-40</w:t>
            </w:r>
            <w:r>
              <w:rPr>
                <w:rFonts w:hint="eastAsia"/>
              </w:rPr>
              <w:t>（非）</w:t>
            </w:r>
          </w:p>
          <w:p w:rsidR="005B16D1" w:rsidRDefault="005B16D1" w:rsidP="005B16D1">
            <w:pPr>
              <w:pStyle w:val="a9"/>
              <w:ind w:firstLine="31680"/>
              <w:rPr>
                <w:rFonts w:cs="Times New Roman"/>
              </w:rPr>
            </w:pPr>
            <w:r>
              <w:rPr>
                <w:rFonts w:hint="eastAsia"/>
              </w:rPr>
              <w:t>体积为</w:t>
            </w:r>
            <w:r>
              <w:t>40L</w:t>
            </w:r>
            <w:r>
              <w:rPr>
                <w:rFonts w:hint="eastAsia"/>
              </w:rPr>
              <w:t>的非标准墙角用可燃液体储存柜</w:t>
            </w:r>
          </w:p>
          <w:p w:rsidR="005B16D1" w:rsidRDefault="005B16D1" w:rsidP="005B16D1">
            <w:pPr>
              <w:pStyle w:val="a9"/>
              <w:ind w:firstLine="31680"/>
              <w:rPr>
                <w:rFonts w:cs="Times New Roman"/>
                <w:sz w:val="18"/>
                <w:szCs w:val="18"/>
              </w:rPr>
            </w:pPr>
            <w:r>
              <w:rPr>
                <w:rFonts w:hint="eastAsia"/>
                <w:sz w:val="18"/>
                <w:szCs w:val="18"/>
              </w:rPr>
              <w:t>表</w:t>
            </w:r>
            <w:r>
              <w:rPr>
                <w:sz w:val="18"/>
                <w:szCs w:val="18"/>
              </w:rPr>
              <w:t xml:space="preserve">2 </w:t>
            </w:r>
            <w:r>
              <w:rPr>
                <w:rFonts w:hint="eastAsia"/>
                <w:sz w:val="18"/>
                <w:szCs w:val="18"/>
              </w:rPr>
              <w:t>危险化学品储存柜标记底色的基本识别色、色样</w:t>
            </w:r>
          </w:p>
          <w:p w:rsidR="005B16D1" w:rsidRDefault="005B16D1" w:rsidP="005B16D1">
            <w:pPr>
              <w:pStyle w:val="a9"/>
              <w:ind w:firstLine="31680"/>
              <w:rPr>
                <w:rFonts w:cs="Times New Roman"/>
              </w:rPr>
            </w:pPr>
            <w:r w:rsidRPr="00C05F22">
              <w:rPr>
                <w:rFonts w:cs="Times New Roman"/>
                <w:noProof/>
              </w:rPr>
              <w:pict>
                <v:shape id="图片 5" o:spid="_x0000_i1027" type="#_x0000_t75" alt="微信图片_201907251637191" style="width:195.75pt;height:65.25pt;visibility:visible">
                  <v:imagedata r:id="rId10" o:title=""/>
                </v:shape>
              </w:pict>
            </w:r>
          </w:p>
          <w:p w:rsidR="005B16D1" w:rsidRDefault="005B16D1">
            <w:pPr>
              <w:pStyle w:val="a9"/>
              <w:ind w:firstLineChars="0" w:firstLine="0"/>
              <w:rPr>
                <w:rFonts w:cs="Times New Roman"/>
              </w:rPr>
            </w:pPr>
            <w:bookmarkStart w:id="37" w:name="_Toc2039"/>
            <w:bookmarkStart w:id="38" w:name="_Toc28961"/>
            <w:r>
              <w:t>4.3</w:t>
            </w:r>
            <w:r>
              <w:rPr>
                <w:rFonts w:hint="eastAsia"/>
              </w:rPr>
              <w:t>标签</w:t>
            </w:r>
            <w:bookmarkEnd w:id="37"/>
            <w:bookmarkEnd w:id="38"/>
          </w:p>
          <w:p w:rsidR="005B16D1" w:rsidRDefault="005B16D1" w:rsidP="005B16D1">
            <w:pPr>
              <w:pStyle w:val="a9"/>
              <w:ind w:firstLine="31680"/>
              <w:rPr>
                <w:rFonts w:cs="Times New Roman"/>
              </w:rPr>
            </w:pPr>
            <w:bookmarkStart w:id="39" w:name="_Toc107735652"/>
            <w:r>
              <w:rPr>
                <w:rFonts w:hint="eastAsia"/>
              </w:rPr>
              <w:t>危险化学品储存柜的标签按照</w:t>
            </w:r>
            <w:r>
              <w:t>GB 190</w:t>
            </w:r>
            <w:r>
              <w:rPr>
                <w:rFonts w:hint="eastAsia"/>
              </w:rPr>
              <w:t>的规定设置（见表</w:t>
            </w:r>
            <w:r>
              <w:t>2</w:t>
            </w:r>
            <w:r>
              <w:rPr>
                <w:rFonts w:hint="eastAsia"/>
              </w:rPr>
              <w:t>），具体详细标签内容和规格见附录</w:t>
            </w:r>
            <w:r>
              <w:t>A</w:t>
            </w:r>
            <w:r>
              <w:rPr>
                <w:rFonts w:hint="eastAsia"/>
              </w:rPr>
              <w:t>。</w:t>
            </w:r>
          </w:p>
          <w:p w:rsidR="005B16D1" w:rsidRDefault="005B16D1">
            <w:pPr>
              <w:pStyle w:val="a9"/>
              <w:ind w:firstLineChars="0" w:firstLine="0"/>
              <w:rPr>
                <w:rFonts w:cs="Times New Roman"/>
              </w:rPr>
            </w:pPr>
            <w:bookmarkStart w:id="40" w:name="_Toc21408"/>
            <w:bookmarkStart w:id="41" w:name="_Toc17746"/>
            <w:bookmarkEnd w:id="39"/>
            <w:r>
              <w:t>4.4</w:t>
            </w:r>
            <w:r>
              <w:rPr>
                <w:rFonts w:hint="eastAsia"/>
              </w:rPr>
              <w:t>规格</w:t>
            </w:r>
            <w:bookmarkEnd w:id="40"/>
            <w:bookmarkEnd w:id="41"/>
          </w:p>
          <w:p w:rsidR="005B16D1" w:rsidRDefault="005B16D1" w:rsidP="005B16D1">
            <w:pPr>
              <w:pStyle w:val="a9"/>
              <w:ind w:firstLine="31680"/>
              <w:rPr>
                <w:rFonts w:cs="Times New Roman"/>
              </w:rPr>
            </w:pPr>
            <w:r>
              <w:rPr>
                <w:rFonts w:hint="eastAsia"/>
              </w:rPr>
              <w:t>易燃液体储存柜、可燃液体储存柜、腐蚀性液体储存柜及毒害品储存柜的</w:t>
            </w:r>
            <w:r>
              <w:rPr>
                <w:rFonts w:hint="eastAsia"/>
                <w:lang w:val="en-GB"/>
              </w:rPr>
              <w:t>最大容积不宜超过</w:t>
            </w:r>
            <w:r>
              <w:rPr>
                <w:lang w:val="en-GB"/>
              </w:rPr>
              <w:t>45</w:t>
            </w:r>
            <w:r>
              <w:t xml:space="preserve">5 </w:t>
            </w:r>
            <w:r>
              <w:rPr>
                <w:lang w:val="en-GB"/>
              </w:rPr>
              <w:t>L</w:t>
            </w:r>
            <w:r>
              <w:rPr>
                <w:rFonts w:hint="eastAsia"/>
                <w:lang w:val="en-GB"/>
              </w:rPr>
              <w:t>，</w:t>
            </w:r>
            <w:r>
              <w:rPr>
                <w:rFonts w:hint="eastAsia"/>
              </w:rPr>
              <w:t>常见规格有：</w:t>
            </w:r>
            <w:r>
              <w:t>15 L</w:t>
            </w:r>
            <w:r>
              <w:rPr>
                <w:rFonts w:hint="eastAsia"/>
              </w:rPr>
              <w:t>、</w:t>
            </w:r>
            <w:r>
              <w:t>45 L</w:t>
            </w:r>
            <w:r>
              <w:rPr>
                <w:rFonts w:hint="eastAsia"/>
              </w:rPr>
              <w:t>、</w:t>
            </w:r>
            <w:r>
              <w:t>83 L</w:t>
            </w:r>
            <w:r>
              <w:rPr>
                <w:rFonts w:hint="eastAsia"/>
              </w:rPr>
              <w:t>、</w:t>
            </w:r>
            <w:r>
              <w:t>114 L</w:t>
            </w:r>
            <w:r>
              <w:rPr>
                <w:rFonts w:hint="eastAsia"/>
              </w:rPr>
              <w:t>、</w:t>
            </w:r>
            <w:r>
              <w:t>170 L</w:t>
            </w:r>
            <w:r>
              <w:rPr>
                <w:rFonts w:hint="eastAsia"/>
              </w:rPr>
              <w:t>、</w:t>
            </w:r>
            <w:r>
              <w:t>204 L</w:t>
            </w:r>
            <w:r>
              <w:rPr>
                <w:rFonts w:hint="eastAsia"/>
              </w:rPr>
              <w:t>、</w:t>
            </w:r>
            <w:r>
              <w:t>207 L</w:t>
            </w:r>
            <w:r>
              <w:rPr>
                <w:rFonts w:hint="eastAsia"/>
              </w:rPr>
              <w:t>、</w:t>
            </w:r>
            <w:r>
              <w:t>227 L</w:t>
            </w:r>
            <w:r>
              <w:rPr>
                <w:rFonts w:hint="eastAsia"/>
              </w:rPr>
              <w:t>、</w:t>
            </w:r>
            <w:r>
              <w:t>340 L</w:t>
            </w:r>
            <w:r>
              <w:rPr>
                <w:rFonts w:hint="eastAsia"/>
              </w:rPr>
              <w:t>、</w:t>
            </w:r>
            <w:r>
              <w:t>415 L</w:t>
            </w:r>
            <w:r>
              <w:rPr>
                <w:rFonts w:hint="eastAsia"/>
              </w:rPr>
              <w:t>、</w:t>
            </w:r>
            <w:r>
              <w:t>435 L</w:t>
            </w:r>
            <w:r>
              <w:rPr>
                <w:rFonts w:hint="eastAsia"/>
              </w:rPr>
              <w:t>等；压缩气体气瓶储存柜</w:t>
            </w:r>
            <w:r>
              <w:rPr>
                <w:rFonts w:hint="eastAsia"/>
                <w:lang w:val="en-GB"/>
              </w:rPr>
              <w:t>最大容积</w:t>
            </w:r>
            <w:r>
              <w:rPr>
                <w:rFonts w:hint="eastAsia"/>
              </w:rPr>
              <w:t>不宜超过</w:t>
            </w:r>
            <w:r>
              <w:t xml:space="preserve"> 220 L</w:t>
            </w:r>
            <w:r>
              <w:rPr>
                <w:rFonts w:hint="eastAsia"/>
              </w:rPr>
              <w:t>。</w:t>
            </w:r>
          </w:p>
        </w:tc>
        <w:tc>
          <w:tcPr>
            <w:tcW w:w="5825" w:type="dxa"/>
          </w:tcPr>
          <w:p w:rsidR="005B16D1" w:rsidRDefault="005B16D1">
            <w:pPr>
              <w:spacing w:line="360" w:lineRule="auto"/>
              <w:rPr>
                <w:rFonts w:ascii="宋体" w:cs="Times New Roman"/>
              </w:rPr>
            </w:pPr>
            <w:r>
              <w:rPr>
                <w:rFonts w:ascii="宋体" w:hAnsi="宋体" w:cs="宋体"/>
              </w:rPr>
              <w:t>4.1</w:t>
            </w:r>
            <w:r>
              <w:rPr>
                <w:rFonts w:ascii="宋体" w:hAnsi="宋体" w:cs="宋体" w:hint="eastAsia"/>
              </w:rPr>
              <w:t>《安全色》（</w:t>
            </w:r>
            <w:r>
              <w:rPr>
                <w:rFonts w:ascii="宋体" w:hAnsi="宋体" w:cs="宋体"/>
              </w:rPr>
              <w:t>GB 2893-2008</w:t>
            </w:r>
            <w:r>
              <w:rPr>
                <w:rFonts w:ascii="宋体" w:hAnsi="宋体" w:cs="宋体" w:hint="eastAsia"/>
              </w:rPr>
              <w:t>）第</w:t>
            </w:r>
            <w:r>
              <w:rPr>
                <w:rFonts w:ascii="宋体" w:hAnsi="宋体" w:cs="宋体"/>
              </w:rPr>
              <w:t>4</w:t>
            </w:r>
            <w:r>
              <w:rPr>
                <w:rFonts w:ascii="宋体" w:hAnsi="宋体" w:cs="宋体" w:hint="eastAsia"/>
              </w:rPr>
              <w:t>节；</w:t>
            </w:r>
          </w:p>
          <w:p w:rsidR="005B16D1" w:rsidRDefault="005B16D1">
            <w:pPr>
              <w:spacing w:line="360" w:lineRule="auto"/>
              <w:rPr>
                <w:rFonts w:ascii="宋体" w:cs="Times New Roman"/>
              </w:rPr>
            </w:pPr>
            <w:r>
              <w:rPr>
                <w:rFonts w:ascii="宋体" w:hAnsi="宋体" w:cs="宋体"/>
              </w:rPr>
              <w:t>4.2</w:t>
            </w:r>
            <w:r>
              <w:rPr>
                <w:rFonts w:ascii="宋体" w:hAnsi="宋体" w:cs="宋体" w:hint="eastAsia"/>
              </w:rPr>
              <w:t>创新；</w:t>
            </w:r>
          </w:p>
          <w:p w:rsidR="005B16D1" w:rsidRDefault="005B16D1">
            <w:pPr>
              <w:spacing w:line="360" w:lineRule="auto"/>
              <w:rPr>
                <w:rFonts w:ascii="宋体" w:cs="Times New Roman"/>
              </w:rPr>
            </w:pPr>
            <w:r>
              <w:rPr>
                <w:rFonts w:ascii="宋体" w:hAnsi="宋体" w:cs="宋体"/>
              </w:rPr>
              <w:t>4.3</w:t>
            </w:r>
            <w:r>
              <w:rPr>
                <w:rFonts w:ascii="宋体" w:hAnsi="宋体" w:cs="宋体" w:hint="eastAsia"/>
              </w:rPr>
              <w:t>《危险货物包装标志》（</w:t>
            </w:r>
            <w:r>
              <w:rPr>
                <w:rFonts w:ascii="宋体" w:hAnsi="宋体" w:cs="宋体"/>
              </w:rPr>
              <w:t>GB 190-2009</w:t>
            </w:r>
            <w:r>
              <w:rPr>
                <w:rFonts w:ascii="宋体" w:hAnsi="宋体" w:cs="宋体" w:hint="eastAsia"/>
              </w:rPr>
              <w:t>）第</w:t>
            </w:r>
            <w:r>
              <w:rPr>
                <w:rFonts w:ascii="宋体" w:hAnsi="宋体" w:cs="宋体"/>
              </w:rPr>
              <w:t>3</w:t>
            </w:r>
            <w:r>
              <w:rPr>
                <w:rFonts w:ascii="宋体" w:hAnsi="宋体" w:cs="宋体" w:hint="eastAsia"/>
              </w:rPr>
              <w:t>节，《化学品安全标签编写规定》（</w:t>
            </w:r>
            <w:r>
              <w:rPr>
                <w:rFonts w:ascii="宋体" w:hAnsi="宋体" w:cs="宋体"/>
              </w:rPr>
              <w:t>GB 15258-2009</w:t>
            </w:r>
            <w:r>
              <w:rPr>
                <w:rFonts w:ascii="宋体" w:hAnsi="宋体" w:cs="宋体" w:hint="eastAsia"/>
              </w:rPr>
              <w:t>）第</w:t>
            </w:r>
            <w:r>
              <w:rPr>
                <w:rFonts w:ascii="宋体" w:hAnsi="宋体" w:cs="宋体"/>
              </w:rPr>
              <w:t>4</w:t>
            </w:r>
            <w:r>
              <w:rPr>
                <w:rFonts w:ascii="宋体" w:hAnsi="宋体" w:cs="宋体" w:hint="eastAsia"/>
              </w:rPr>
              <w:t>节，《储存柜（易燃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3.3.2</w:t>
            </w:r>
            <w:r>
              <w:rPr>
                <w:rFonts w:ascii="宋体" w:hAnsi="宋体" w:cs="宋体" w:hint="eastAsia"/>
              </w:rPr>
              <w:t>节、第</w:t>
            </w:r>
            <w:r>
              <w:rPr>
                <w:rFonts w:ascii="宋体" w:hAnsi="宋体" w:cs="宋体"/>
              </w:rPr>
              <w:t>3.3.3</w:t>
            </w:r>
            <w:r>
              <w:rPr>
                <w:rFonts w:ascii="宋体" w:hAnsi="宋体" w:cs="宋体" w:hint="eastAsia"/>
              </w:rPr>
              <w:t>节；</w:t>
            </w:r>
          </w:p>
          <w:p w:rsidR="005B16D1" w:rsidRDefault="005B16D1">
            <w:pPr>
              <w:spacing w:line="360" w:lineRule="auto"/>
              <w:rPr>
                <w:rFonts w:ascii="宋体" w:cs="Times New Roman"/>
              </w:rPr>
            </w:pPr>
            <w:r>
              <w:rPr>
                <w:rFonts w:ascii="宋体" w:hAnsi="宋体" w:cs="宋体"/>
              </w:rPr>
              <w:t>4.4</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2.1</w:t>
            </w:r>
            <w:r>
              <w:rPr>
                <w:rFonts w:ascii="宋体" w:hAnsi="宋体" w:cs="宋体" w:hint="eastAsia"/>
              </w:rPr>
              <w:t>节、第</w:t>
            </w:r>
            <w:r>
              <w:rPr>
                <w:rFonts w:ascii="宋体" w:hAnsi="宋体" w:cs="宋体"/>
              </w:rPr>
              <w:t>3.1</w:t>
            </w:r>
            <w:r>
              <w:rPr>
                <w:rFonts w:ascii="宋体" w:hAnsi="宋体" w:cs="宋体" w:hint="eastAsia"/>
              </w:rPr>
              <w:t>节，《防火存储柜</w:t>
            </w:r>
            <w:r>
              <w:rPr>
                <w:rFonts w:ascii="宋体" w:cs="宋体"/>
              </w:rPr>
              <w:t>.</w:t>
            </w:r>
            <w:r>
              <w:rPr>
                <w:rFonts w:ascii="宋体" w:hAnsi="宋体" w:cs="宋体" w:hint="eastAsia"/>
              </w:rPr>
              <w:t>第</w:t>
            </w:r>
            <w:r>
              <w:rPr>
                <w:rFonts w:ascii="宋体" w:hAnsi="宋体" w:cs="宋体"/>
              </w:rPr>
              <w:t>2</w:t>
            </w:r>
            <w:r>
              <w:rPr>
                <w:rFonts w:ascii="宋体" w:hAnsi="宋体" w:cs="宋体" w:hint="eastAsia"/>
              </w:rPr>
              <w:t>部分：增压气瓶的安全柜》（</w:t>
            </w:r>
            <w:r>
              <w:rPr>
                <w:rFonts w:ascii="宋体" w:hAnsi="宋体" w:cs="宋体"/>
              </w:rPr>
              <w:t>EN 14470-2-2006</w:t>
            </w:r>
            <w:r>
              <w:rPr>
                <w:rFonts w:ascii="宋体" w:hAnsi="宋体" w:cs="宋体" w:hint="eastAsia"/>
              </w:rPr>
              <w:t>）第</w:t>
            </w:r>
            <w:r>
              <w:rPr>
                <w:rFonts w:ascii="宋体" w:hAnsi="宋体" w:cs="宋体"/>
              </w:rPr>
              <w:t>1</w:t>
            </w:r>
            <w:r>
              <w:rPr>
                <w:rFonts w:ascii="宋体" w:hAnsi="宋体" w:cs="宋体" w:hint="eastAsia"/>
              </w:rPr>
              <w:t>节；</w:t>
            </w:r>
          </w:p>
          <w:p w:rsidR="005B16D1" w:rsidRDefault="005B16D1">
            <w:pPr>
              <w:spacing w:line="360" w:lineRule="auto"/>
              <w:rPr>
                <w:rFonts w:ascii="宋体" w:cs="Times New Roman"/>
                <w:color w:val="FF0000"/>
              </w:rPr>
            </w:pPr>
          </w:p>
        </w:tc>
        <w:tc>
          <w:tcPr>
            <w:tcW w:w="1162" w:type="dxa"/>
          </w:tcPr>
          <w:p w:rsidR="005B16D1" w:rsidRDefault="005B16D1">
            <w:pPr>
              <w:spacing w:line="360" w:lineRule="auto"/>
              <w:jc w:val="center"/>
              <w:rPr>
                <w:rFonts w:ascii="宋体" w:cs="Times New Roman"/>
                <w:color w:val="FF0000"/>
              </w:rPr>
            </w:pPr>
          </w:p>
        </w:tc>
      </w:tr>
      <w:tr w:rsidR="005B16D1">
        <w:tc>
          <w:tcPr>
            <w:tcW w:w="881" w:type="dxa"/>
          </w:tcPr>
          <w:p w:rsidR="005B16D1" w:rsidRDefault="005B16D1">
            <w:pPr>
              <w:spacing w:line="480" w:lineRule="auto"/>
              <w:jc w:val="center"/>
              <w:rPr>
                <w:rFonts w:ascii="宋体" w:cs="Times New Roman"/>
              </w:rPr>
            </w:pPr>
            <w:r>
              <w:rPr>
                <w:rFonts w:ascii="宋体" w:hAnsi="宋体" w:cs="宋体"/>
              </w:rPr>
              <w:t>4</w:t>
            </w:r>
          </w:p>
        </w:tc>
        <w:tc>
          <w:tcPr>
            <w:tcW w:w="1456" w:type="dxa"/>
          </w:tcPr>
          <w:p w:rsidR="005B16D1" w:rsidRDefault="005B16D1" w:rsidP="00897B82">
            <w:pPr>
              <w:pStyle w:val="Heading1"/>
              <w:spacing w:beforeLines="100" w:afterLines="100"/>
              <w:rPr>
                <w:rFonts w:cs="Times New Roman"/>
              </w:rPr>
            </w:pPr>
            <w:bookmarkStart w:id="42" w:name="_Toc22455"/>
            <w:bookmarkStart w:id="43" w:name="_Toc7969036"/>
            <w:r>
              <w:t xml:space="preserve">5  </w:t>
            </w:r>
            <w:r>
              <w:rPr>
                <w:rFonts w:hint="eastAsia"/>
              </w:rPr>
              <w:t>危险化学品储存柜安全技术基本要求</w:t>
            </w:r>
            <w:bookmarkEnd w:id="42"/>
            <w:bookmarkEnd w:id="43"/>
          </w:p>
          <w:p w:rsidR="005B16D1" w:rsidRDefault="005B16D1">
            <w:pPr>
              <w:spacing w:line="360" w:lineRule="auto"/>
              <w:jc w:val="center"/>
              <w:rPr>
                <w:rFonts w:ascii="宋体" w:cs="Times New Roman"/>
              </w:rPr>
            </w:pPr>
          </w:p>
        </w:tc>
        <w:tc>
          <w:tcPr>
            <w:tcW w:w="5075" w:type="dxa"/>
          </w:tcPr>
          <w:p w:rsidR="005B16D1" w:rsidRDefault="005B16D1">
            <w:pPr>
              <w:pStyle w:val="a9"/>
              <w:ind w:firstLineChars="0" w:firstLine="0"/>
              <w:rPr>
                <w:rFonts w:cs="Times New Roman"/>
              </w:rPr>
            </w:pPr>
            <w:bookmarkStart w:id="44" w:name="_Toc11765"/>
            <w:bookmarkStart w:id="45" w:name="_Toc31837"/>
            <w:r>
              <w:t>5.1</w:t>
            </w:r>
            <w:r>
              <w:rPr>
                <w:rFonts w:hint="eastAsia"/>
              </w:rPr>
              <w:t>外观</w:t>
            </w:r>
            <w:bookmarkEnd w:id="44"/>
            <w:bookmarkEnd w:id="45"/>
          </w:p>
          <w:p w:rsidR="005B16D1" w:rsidRDefault="005B16D1" w:rsidP="005B16D1">
            <w:pPr>
              <w:pStyle w:val="a9"/>
              <w:ind w:firstLine="31680"/>
              <w:rPr>
                <w:rFonts w:cs="Times New Roman"/>
              </w:rPr>
            </w:pPr>
            <w:r>
              <w:rPr>
                <w:rFonts w:hint="eastAsia"/>
              </w:rPr>
              <w:t>柜体及各部件涂层色泽统一、厚薄均匀，表面应平整、光滑；金属件无锈蚀</w:t>
            </w:r>
            <w:r>
              <w:rPr>
                <w:rFonts w:hint="eastAsia"/>
                <w:lang w:val="en-GB"/>
              </w:rPr>
              <w:t>，柜体焊缝均匀无毛刺</w:t>
            </w:r>
            <w:r>
              <w:rPr>
                <w:rFonts w:hint="eastAsia"/>
              </w:rPr>
              <w:t>。</w:t>
            </w:r>
          </w:p>
          <w:p w:rsidR="005B16D1" w:rsidRDefault="005B16D1">
            <w:pPr>
              <w:pStyle w:val="a9"/>
              <w:ind w:firstLineChars="0" w:firstLine="0"/>
              <w:rPr>
                <w:rFonts w:cs="Times New Roman"/>
              </w:rPr>
            </w:pPr>
            <w:bookmarkStart w:id="46" w:name="_Toc19070"/>
            <w:bookmarkStart w:id="47" w:name="_Toc12849"/>
            <w:r>
              <w:t>5.2</w:t>
            </w:r>
            <w:r>
              <w:rPr>
                <w:rFonts w:hint="eastAsia"/>
              </w:rPr>
              <w:t>工艺装配</w:t>
            </w:r>
            <w:bookmarkEnd w:id="46"/>
            <w:bookmarkEnd w:id="47"/>
          </w:p>
          <w:p w:rsidR="005B16D1" w:rsidRDefault="005B16D1">
            <w:pPr>
              <w:pStyle w:val="a9"/>
              <w:ind w:firstLineChars="0" w:firstLine="0"/>
              <w:rPr>
                <w:rFonts w:cs="Times New Roman"/>
              </w:rPr>
            </w:pPr>
            <w:bookmarkStart w:id="48" w:name="_Toc16862"/>
            <w:r>
              <w:t>5.2.1</w:t>
            </w:r>
            <w:r>
              <w:rPr>
                <w:rFonts w:hint="eastAsia"/>
              </w:rPr>
              <w:t>零部件的结合处应平整牢固。</w:t>
            </w:r>
            <w:bookmarkEnd w:id="48"/>
          </w:p>
          <w:p w:rsidR="005B16D1" w:rsidRDefault="005B16D1">
            <w:pPr>
              <w:pStyle w:val="a9"/>
              <w:ind w:firstLineChars="0" w:firstLine="0"/>
              <w:rPr>
                <w:rFonts w:cs="Times New Roman"/>
              </w:rPr>
            </w:pPr>
            <w:bookmarkStart w:id="49" w:name="_Toc11403"/>
            <w:r>
              <w:t>5.2.2</w:t>
            </w:r>
            <w:r>
              <w:rPr>
                <w:rFonts w:hint="eastAsia"/>
              </w:rPr>
              <w:t>各种配件、连接件安装不应有少件、漏钉、透钉（预留孔、选择孔除外）。</w:t>
            </w:r>
            <w:bookmarkEnd w:id="49"/>
          </w:p>
          <w:p w:rsidR="005B16D1" w:rsidRDefault="005B16D1">
            <w:pPr>
              <w:pStyle w:val="a9"/>
              <w:ind w:firstLineChars="0" w:firstLine="0"/>
              <w:rPr>
                <w:rFonts w:cs="Times New Roman"/>
              </w:rPr>
            </w:pPr>
            <w:bookmarkStart w:id="50" w:name="_Toc22489"/>
            <w:r>
              <w:t>5.2.3</w:t>
            </w:r>
            <w:r>
              <w:rPr>
                <w:rFonts w:hint="eastAsia"/>
              </w:rPr>
              <w:t>启闭部件安装后应使用灵活。</w:t>
            </w:r>
            <w:bookmarkEnd w:id="50"/>
          </w:p>
          <w:p w:rsidR="005B16D1" w:rsidRDefault="005B16D1">
            <w:pPr>
              <w:pStyle w:val="a9"/>
              <w:ind w:firstLineChars="0" w:firstLine="0"/>
              <w:rPr>
                <w:rFonts w:cs="Times New Roman"/>
              </w:rPr>
            </w:pPr>
            <w:bookmarkStart w:id="51" w:name="_Toc10908"/>
            <w:bookmarkStart w:id="52" w:name="_Toc135"/>
            <w:r>
              <w:t>5.3</w:t>
            </w:r>
            <w:r>
              <w:rPr>
                <w:rFonts w:hint="eastAsia"/>
              </w:rPr>
              <w:t>材料</w:t>
            </w:r>
            <w:bookmarkEnd w:id="51"/>
            <w:bookmarkEnd w:id="52"/>
          </w:p>
          <w:p w:rsidR="005B16D1" w:rsidRDefault="005B16D1" w:rsidP="005B16D1">
            <w:pPr>
              <w:pStyle w:val="a9"/>
              <w:ind w:firstLine="31680"/>
              <w:rPr>
                <w:rFonts w:cs="Times New Roman"/>
              </w:rPr>
            </w:pPr>
            <w:r>
              <w:rPr>
                <w:rFonts w:hint="eastAsia"/>
              </w:rPr>
              <w:t>柜体</w:t>
            </w:r>
            <w:r>
              <w:rPr>
                <w:rFonts w:hint="eastAsia"/>
                <w:lang w:val="en-GB"/>
              </w:rPr>
              <w:t>材料</w:t>
            </w:r>
            <w:r>
              <w:rPr>
                <w:rFonts w:hint="eastAsia"/>
              </w:rPr>
              <w:t>可采用钢制金属材料制造</w:t>
            </w:r>
            <w:r>
              <w:rPr>
                <w:rFonts w:hint="eastAsia"/>
                <w:lang w:val="en-GB"/>
              </w:rPr>
              <w:t>，其厚度不应低于</w:t>
            </w:r>
            <w:r>
              <w:rPr>
                <w:lang w:val="en-GB"/>
              </w:rPr>
              <w:t>1.2mm</w:t>
            </w:r>
            <w:r>
              <w:rPr>
                <w:rFonts w:hint="eastAsia"/>
              </w:rPr>
              <w:t>，其抗拉强度不应小于</w:t>
            </w:r>
            <w:r>
              <w:t xml:space="preserve"> 345 MPa</w:t>
            </w:r>
            <w:r>
              <w:rPr>
                <w:rFonts w:hint="eastAsia"/>
                <w:lang w:val="en-GB"/>
              </w:rPr>
              <w:t>。</w:t>
            </w:r>
            <w:r>
              <w:rPr>
                <w:rFonts w:hint="eastAsia"/>
              </w:rPr>
              <w:t>抗拉强度试验宜按</w:t>
            </w:r>
            <w:r>
              <w:t>GB 10409-2001</w:t>
            </w:r>
            <w:r>
              <w:rPr>
                <w:rFonts w:hint="eastAsia"/>
              </w:rPr>
              <w:t>的规定进行。腐蚀性液体储存柜柜体材料应选择相应的耐腐蚀材料，防止柜体被泄露的危化品腐蚀而变形，如采用聚丙烯</w:t>
            </w:r>
            <w:r>
              <w:t>(PP)</w:t>
            </w:r>
            <w:r>
              <w:rPr>
                <w:rFonts w:hint="eastAsia"/>
              </w:rPr>
              <w:t>材质，厚度不应低于</w:t>
            </w:r>
            <w:r>
              <w:t xml:space="preserve"> 8 </w:t>
            </w:r>
            <w:r>
              <w:rPr>
                <w:lang w:val="en-GB"/>
              </w:rPr>
              <w:t>mm</w:t>
            </w:r>
            <w:r>
              <w:rPr>
                <w:rFonts w:hint="eastAsia"/>
              </w:rPr>
              <w:t>。</w:t>
            </w:r>
          </w:p>
          <w:p w:rsidR="005B16D1" w:rsidRDefault="005B16D1">
            <w:pPr>
              <w:pStyle w:val="a9"/>
              <w:ind w:firstLineChars="0" w:firstLine="0"/>
              <w:rPr>
                <w:rFonts w:cs="Times New Roman"/>
              </w:rPr>
            </w:pPr>
            <w:bookmarkStart w:id="53" w:name="_Toc4311"/>
            <w:bookmarkStart w:id="54" w:name="_Toc28016"/>
            <w:r>
              <w:t>5.4</w:t>
            </w:r>
            <w:r>
              <w:rPr>
                <w:rFonts w:hint="eastAsia"/>
              </w:rPr>
              <w:t>结构</w:t>
            </w:r>
            <w:bookmarkEnd w:id="53"/>
            <w:bookmarkEnd w:id="54"/>
          </w:p>
          <w:p w:rsidR="005B16D1" w:rsidRDefault="005B16D1">
            <w:pPr>
              <w:pStyle w:val="a9"/>
              <w:ind w:firstLineChars="0" w:firstLine="0"/>
              <w:rPr>
                <w:rFonts w:cs="Times New Roman"/>
              </w:rPr>
            </w:pPr>
            <w:bookmarkStart w:id="55" w:name="_Toc13786"/>
            <w:r>
              <w:t>5.4.1</w:t>
            </w:r>
            <w:r>
              <w:rPr>
                <w:rFonts w:hint="eastAsia"/>
              </w:rPr>
              <w:t>柜体宜采用双层结构，内外层间至少应保</w:t>
            </w:r>
            <w:r>
              <w:t>38 mm</w:t>
            </w:r>
            <w:r>
              <w:rPr>
                <w:rFonts w:hint="eastAsia"/>
              </w:rPr>
              <w:t>空间。</w:t>
            </w:r>
            <w:bookmarkEnd w:id="55"/>
          </w:p>
          <w:p w:rsidR="005B16D1" w:rsidRDefault="005B16D1">
            <w:pPr>
              <w:pStyle w:val="a9"/>
              <w:ind w:firstLineChars="0" w:firstLine="0"/>
              <w:rPr>
                <w:rFonts w:cs="Times New Roman"/>
              </w:rPr>
            </w:pPr>
            <w:r>
              <w:t>5.4.2</w:t>
            </w:r>
            <w:r>
              <w:rPr>
                <w:rFonts w:hint="eastAsia"/>
              </w:rPr>
              <w:t>双层柜体间可用不燃材料填充，并符合不燃材料的标准要求。</w:t>
            </w:r>
          </w:p>
          <w:p w:rsidR="005B16D1" w:rsidRDefault="005B16D1">
            <w:pPr>
              <w:pStyle w:val="a9"/>
              <w:ind w:firstLineChars="0" w:firstLine="0"/>
              <w:rPr>
                <w:rFonts w:cs="Times New Roman"/>
              </w:rPr>
            </w:pPr>
            <w:bookmarkStart w:id="56" w:name="_Toc30750"/>
            <w:r>
              <w:t>5.4.3</w:t>
            </w:r>
            <w:r>
              <w:rPr>
                <w:rFonts w:hint="eastAsia"/>
              </w:rPr>
              <w:t>柜体材料选择参考</w:t>
            </w:r>
            <w:r>
              <w:t>5.3</w:t>
            </w:r>
            <w:r>
              <w:rPr>
                <w:rFonts w:hint="eastAsia"/>
              </w:rPr>
              <w:t>要求。</w:t>
            </w:r>
            <w:bookmarkEnd w:id="56"/>
          </w:p>
          <w:p w:rsidR="005B16D1" w:rsidRDefault="005B16D1">
            <w:pPr>
              <w:pStyle w:val="a9"/>
              <w:ind w:firstLineChars="0" w:firstLine="0"/>
              <w:rPr>
                <w:rFonts w:cs="Times New Roman"/>
              </w:rPr>
            </w:pPr>
            <w:bookmarkStart w:id="57" w:name="_Toc20411"/>
            <w:r>
              <w:t>5.4.4</w:t>
            </w:r>
            <w:r>
              <w:rPr>
                <w:rFonts w:hint="eastAsia"/>
              </w:rPr>
              <w:t>易燃液体和可燃液体储存柜柜体应设有防静电接地装置。</w:t>
            </w:r>
            <w:bookmarkEnd w:id="57"/>
          </w:p>
          <w:p w:rsidR="005B16D1" w:rsidRDefault="005B16D1">
            <w:pPr>
              <w:pStyle w:val="a9"/>
              <w:ind w:firstLineChars="0" w:firstLine="0"/>
              <w:rPr>
                <w:rFonts w:cs="Times New Roman"/>
              </w:rPr>
            </w:pPr>
            <w:bookmarkStart w:id="58" w:name="_Toc30026"/>
            <w:r>
              <w:t>5.4.5</w:t>
            </w:r>
            <w:r>
              <w:rPr>
                <w:rFonts w:hint="eastAsia"/>
              </w:rPr>
              <w:t>柜体上设置通风孔。</w:t>
            </w:r>
            <w:bookmarkEnd w:id="58"/>
          </w:p>
          <w:p w:rsidR="005B16D1" w:rsidRDefault="005B16D1">
            <w:pPr>
              <w:pStyle w:val="a9"/>
              <w:ind w:firstLineChars="0" w:firstLine="0"/>
              <w:rPr>
                <w:rFonts w:cs="Times New Roman"/>
              </w:rPr>
            </w:pPr>
            <w:bookmarkStart w:id="59" w:name="_Toc9661"/>
            <w:r>
              <w:t>5.4.6</w:t>
            </w:r>
            <w:r>
              <w:rPr>
                <w:rFonts w:hint="eastAsia"/>
              </w:rPr>
              <w:t>除压缩气体气瓶储存柜外，其他储存柜柜底应预留防泄漏的盛漏槽。</w:t>
            </w:r>
            <w:bookmarkEnd w:id="59"/>
          </w:p>
          <w:p w:rsidR="005B16D1" w:rsidRDefault="005B16D1">
            <w:pPr>
              <w:pStyle w:val="a9"/>
              <w:ind w:firstLineChars="0" w:firstLine="0"/>
              <w:rPr>
                <w:rFonts w:cs="Times New Roman"/>
              </w:rPr>
            </w:pPr>
            <w:bookmarkStart w:id="60" w:name="_Toc9176"/>
            <w:bookmarkStart w:id="61" w:name="_Toc19250"/>
            <w:r>
              <w:t>5.5</w:t>
            </w:r>
            <w:r>
              <w:rPr>
                <w:rFonts w:hint="eastAsia"/>
              </w:rPr>
              <w:t>容量承重</w:t>
            </w:r>
            <w:bookmarkEnd w:id="60"/>
            <w:bookmarkEnd w:id="61"/>
          </w:p>
          <w:p w:rsidR="005B16D1" w:rsidRDefault="005B16D1" w:rsidP="005B16D1">
            <w:pPr>
              <w:pStyle w:val="a9"/>
              <w:ind w:firstLine="31680"/>
              <w:rPr>
                <w:rFonts w:cs="Times New Roman"/>
              </w:rPr>
            </w:pPr>
            <w:r>
              <w:rPr>
                <w:rFonts w:hint="eastAsia"/>
              </w:rPr>
              <w:t>柜体及搁板应能承受其最大盛装容积重量，</w:t>
            </w:r>
            <w:r>
              <w:rPr>
                <w:rFonts w:hint="eastAsia"/>
                <w:lang w:val="en-GB"/>
              </w:rPr>
              <w:t>宜符合</w:t>
            </w:r>
            <w:r>
              <w:rPr>
                <w:lang w:val="en-GB"/>
              </w:rPr>
              <w:t>FM6050</w:t>
            </w:r>
            <w:r>
              <w:rPr>
                <w:rFonts w:hint="eastAsia"/>
                <w:lang w:val="en-GB"/>
              </w:rPr>
              <w:t>测试要求</w:t>
            </w:r>
            <w:r>
              <w:rPr>
                <w:rFonts w:hint="eastAsia"/>
              </w:rPr>
              <w:t>。</w:t>
            </w:r>
          </w:p>
          <w:p w:rsidR="005B16D1" w:rsidRDefault="005B16D1">
            <w:pPr>
              <w:pStyle w:val="a9"/>
              <w:ind w:firstLineChars="0" w:firstLine="0"/>
              <w:rPr>
                <w:rFonts w:cs="Times New Roman"/>
              </w:rPr>
            </w:pPr>
            <w:bookmarkStart w:id="62" w:name="_Toc10201"/>
            <w:bookmarkStart w:id="63" w:name="_Toc19113"/>
            <w:r>
              <w:t>5.6</w:t>
            </w:r>
            <w:r>
              <w:rPr>
                <w:rFonts w:hint="eastAsia"/>
              </w:rPr>
              <w:t>防火、防静电</w:t>
            </w:r>
            <w:bookmarkEnd w:id="62"/>
            <w:bookmarkEnd w:id="63"/>
          </w:p>
          <w:p w:rsidR="005B16D1" w:rsidRDefault="005B16D1">
            <w:pPr>
              <w:pStyle w:val="a9"/>
              <w:ind w:firstLineChars="0" w:firstLine="0"/>
              <w:rPr>
                <w:rFonts w:cs="Times New Roman"/>
              </w:rPr>
            </w:pPr>
            <w:bookmarkStart w:id="64" w:name="_Toc5758"/>
            <w:r>
              <w:t>5.6.1</w:t>
            </w:r>
            <w:r>
              <w:rPr>
                <w:rFonts w:hint="eastAsia"/>
                <w:lang w:val="en-GB"/>
              </w:rPr>
              <w:t>防火性能宜符合</w:t>
            </w:r>
            <w:r>
              <w:rPr>
                <w:lang w:val="en-GB"/>
              </w:rPr>
              <w:t>FM6050</w:t>
            </w:r>
            <w:r>
              <w:rPr>
                <w:rFonts w:hint="eastAsia"/>
                <w:lang w:val="en-GB"/>
              </w:rPr>
              <w:t>测试要求</w:t>
            </w:r>
            <w:r>
              <w:rPr>
                <w:rFonts w:hint="eastAsia"/>
              </w:rPr>
              <w:t>。</w:t>
            </w:r>
            <w:bookmarkEnd w:id="64"/>
          </w:p>
          <w:p w:rsidR="005B16D1" w:rsidRDefault="005B16D1">
            <w:pPr>
              <w:pStyle w:val="a9"/>
              <w:ind w:firstLineChars="0" w:firstLine="0"/>
              <w:rPr>
                <w:rFonts w:cs="Times New Roman"/>
              </w:rPr>
            </w:pPr>
            <w:bookmarkStart w:id="65" w:name="_Toc14767"/>
            <w:r>
              <w:t>5.6.2</w:t>
            </w:r>
            <w:r>
              <w:rPr>
                <w:rFonts w:hint="eastAsia"/>
                <w:lang w:val="en-GB"/>
              </w:rPr>
              <w:t>柜体应装有静电接地装置并张贴静电接地标识，静电接地应符合</w:t>
            </w:r>
            <w:r>
              <w:rPr>
                <w:lang w:val="en-GB"/>
              </w:rPr>
              <w:t>GB12158</w:t>
            </w:r>
            <w:r>
              <w:rPr>
                <w:rFonts w:hint="eastAsia"/>
                <w:lang w:val="en-GB"/>
              </w:rPr>
              <w:t>的要求。</w:t>
            </w:r>
            <w:bookmarkEnd w:id="65"/>
          </w:p>
          <w:p w:rsidR="005B16D1" w:rsidRDefault="005B16D1">
            <w:pPr>
              <w:pStyle w:val="a9"/>
              <w:ind w:firstLineChars="0" w:firstLine="0"/>
              <w:rPr>
                <w:rFonts w:cs="Times New Roman"/>
              </w:rPr>
            </w:pPr>
            <w:bookmarkStart w:id="66" w:name="_Toc19436"/>
            <w:bookmarkStart w:id="67" w:name="_Toc29637"/>
            <w:r>
              <w:t>5.7</w:t>
            </w:r>
            <w:r>
              <w:rPr>
                <w:rFonts w:hint="eastAsia"/>
              </w:rPr>
              <w:t>通风</w:t>
            </w:r>
            <w:bookmarkEnd w:id="66"/>
            <w:bookmarkEnd w:id="67"/>
          </w:p>
          <w:p w:rsidR="005B16D1" w:rsidRDefault="005B16D1">
            <w:pPr>
              <w:pStyle w:val="a9"/>
              <w:ind w:firstLineChars="0" w:firstLine="0"/>
              <w:rPr>
                <w:rFonts w:cs="Times New Roman"/>
                <w:lang w:val="en-GB"/>
              </w:rPr>
            </w:pPr>
            <w:bookmarkStart w:id="68" w:name="_Toc1594"/>
            <w:r>
              <w:t>5.7.1</w:t>
            </w:r>
            <w:r>
              <w:rPr>
                <w:rFonts w:hint="eastAsia"/>
                <w:lang w:val="en-GB"/>
              </w:rPr>
              <w:t>储存柜应设通风孔并张贴通风标识。</w:t>
            </w:r>
            <w:bookmarkEnd w:id="68"/>
          </w:p>
          <w:p w:rsidR="005B16D1" w:rsidRDefault="005B16D1">
            <w:pPr>
              <w:pStyle w:val="a9"/>
              <w:ind w:firstLineChars="0" w:firstLine="0"/>
              <w:rPr>
                <w:rFonts w:cs="Times New Roman"/>
                <w:lang w:val="en-GB"/>
              </w:rPr>
            </w:pPr>
            <w:bookmarkStart w:id="69" w:name="_Toc5872"/>
            <w:r>
              <w:t>5.7.2</w:t>
            </w:r>
            <w:r>
              <w:rPr>
                <w:rFonts w:hint="eastAsia"/>
                <w:lang w:val="en-GB"/>
              </w:rPr>
              <w:t>易燃液体和可燃液体储存柜应在柜体两侧分别设置固定式带阻火功能的上下通风孔，其中阻火功能检测宜符合</w:t>
            </w:r>
            <w:r>
              <w:rPr>
                <w:lang w:val="en-GB"/>
              </w:rPr>
              <w:t>FM 6050</w:t>
            </w:r>
            <w:r>
              <w:rPr>
                <w:rFonts w:hint="eastAsia"/>
                <w:lang w:val="en-GB"/>
              </w:rPr>
              <w:t>测试要求。</w:t>
            </w:r>
            <w:bookmarkEnd w:id="69"/>
          </w:p>
          <w:p w:rsidR="005B16D1" w:rsidRDefault="005B16D1">
            <w:pPr>
              <w:pStyle w:val="a9"/>
              <w:ind w:firstLineChars="0" w:firstLine="0"/>
              <w:rPr>
                <w:rFonts w:cs="Times New Roman"/>
              </w:rPr>
            </w:pPr>
            <w:bookmarkStart w:id="70" w:name="_Toc11740"/>
            <w:bookmarkStart w:id="71" w:name="_Toc27829"/>
            <w:r>
              <w:t>5.8</w:t>
            </w:r>
            <w:r>
              <w:rPr>
                <w:rFonts w:hint="eastAsia"/>
              </w:rPr>
              <w:t>防泄漏</w:t>
            </w:r>
            <w:bookmarkEnd w:id="70"/>
            <w:bookmarkEnd w:id="71"/>
          </w:p>
          <w:p w:rsidR="005B16D1" w:rsidRDefault="005B16D1">
            <w:pPr>
              <w:pStyle w:val="a9"/>
              <w:ind w:firstLineChars="0" w:firstLine="0"/>
              <w:rPr>
                <w:rFonts w:cs="Times New Roman"/>
                <w:lang w:val="en-GB"/>
              </w:rPr>
            </w:pPr>
            <w:bookmarkStart w:id="72" w:name="_Toc13858"/>
            <w:r>
              <w:t>5.8.1</w:t>
            </w:r>
            <w:r>
              <w:rPr>
                <w:rFonts w:hint="eastAsia"/>
                <w:lang w:val="en-GB"/>
              </w:rPr>
              <w:t>盛漏槽深度至少</w:t>
            </w:r>
            <w:r>
              <w:rPr>
                <w:lang w:val="en-GB"/>
              </w:rPr>
              <w:t>5</w:t>
            </w:r>
            <w:r>
              <w:t xml:space="preserve">1 </w:t>
            </w:r>
            <w:r>
              <w:rPr>
                <w:lang w:val="en-GB"/>
              </w:rPr>
              <w:t xml:space="preserve">mm </w:t>
            </w:r>
            <w:r>
              <w:rPr>
                <w:rFonts w:hint="eastAsia"/>
                <w:lang w:val="en-GB"/>
              </w:rPr>
              <w:t>。</w:t>
            </w:r>
            <w:bookmarkEnd w:id="72"/>
          </w:p>
          <w:p w:rsidR="005B16D1" w:rsidRDefault="005B16D1">
            <w:pPr>
              <w:pStyle w:val="a9"/>
              <w:ind w:firstLineChars="0" w:firstLine="0"/>
              <w:rPr>
                <w:rFonts w:cs="Times New Roman"/>
                <w:lang w:val="en-GB"/>
              </w:rPr>
            </w:pPr>
            <w:bookmarkStart w:id="73" w:name="_Toc32157"/>
            <w:r>
              <w:t>5.8.2</w:t>
            </w:r>
            <w:r>
              <w:rPr>
                <w:rFonts w:hint="eastAsia"/>
                <w:lang w:val="en-GB"/>
              </w:rPr>
              <w:t>盛漏槽宜符合</w:t>
            </w:r>
            <w:r>
              <w:rPr>
                <w:lang w:val="en-GB"/>
              </w:rPr>
              <w:t>FM 6050</w:t>
            </w:r>
            <w:r>
              <w:rPr>
                <w:rFonts w:hint="eastAsia"/>
                <w:lang w:val="en-GB"/>
              </w:rPr>
              <w:t>测试要求。</w:t>
            </w:r>
            <w:bookmarkEnd w:id="73"/>
          </w:p>
          <w:p w:rsidR="005B16D1" w:rsidRDefault="005B16D1">
            <w:pPr>
              <w:pStyle w:val="a9"/>
              <w:ind w:firstLineChars="0" w:firstLine="0"/>
              <w:rPr>
                <w:rFonts w:cs="Times New Roman"/>
              </w:rPr>
            </w:pPr>
            <w:bookmarkStart w:id="74" w:name="_Toc32329"/>
            <w:bookmarkStart w:id="75" w:name="_Toc28656"/>
            <w:r>
              <w:t>5.9</w:t>
            </w:r>
            <w:r>
              <w:rPr>
                <w:rFonts w:hint="eastAsia"/>
              </w:rPr>
              <w:t>锁</w:t>
            </w:r>
            <w:bookmarkEnd w:id="74"/>
            <w:bookmarkEnd w:id="75"/>
          </w:p>
          <w:p w:rsidR="005B16D1" w:rsidRDefault="005B16D1" w:rsidP="005B16D1">
            <w:pPr>
              <w:pStyle w:val="a9"/>
              <w:ind w:firstLine="31680"/>
              <w:rPr>
                <w:rFonts w:cs="Times New Roman"/>
              </w:rPr>
            </w:pPr>
            <w:r>
              <w:rPr>
                <w:rFonts w:hint="eastAsia"/>
              </w:rPr>
              <w:t>储存柜上安装的机械防盗锁或电子密码锁，应符合</w:t>
            </w:r>
            <w:r>
              <w:t>GA/T 738</w:t>
            </w:r>
            <w:r>
              <w:rPr>
                <w:rFonts w:hint="eastAsia"/>
              </w:rPr>
              <w:t>或</w:t>
            </w:r>
            <w:r>
              <w:t>GA 1511</w:t>
            </w:r>
            <w:r>
              <w:rPr>
                <w:rFonts w:hint="eastAsia"/>
              </w:rPr>
              <w:t>的相关要求。</w:t>
            </w:r>
          </w:p>
          <w:p w:rsidR="005B16D1" w:rsidRDefault="005B16D1">
            <w:pPr>
              <w:pStyle w:val="a9"/>
              <w:ind w:firstLineChars="0" w:firstLine="0"/>
              <w:rPr>
                <w:rFonts w:cs="Times New Roman"/>
              </w:rPr>
            </w:pPr>
            <w:bookmarkStart w:id="76" w:name="_Toc2263"/>
            <w:bookmarkStart w:id="77" w:name="_Toc16796"/>
            <w:r>
              <w:t>5.10</w:t>
            </w:r>
            <w:r>
              <w:rPr>
                <w:rFonts w:hint="eastAsia"/>
              </w:rPr>
              <w:t>溯源</w:t>
            </w:r>
            <w:bookmarkEnd w:id="76"/>
            <w:bookmarkEnd w:id="77"/>
          </w:p>
          <w:p w:rsidR="005B16D1" w:rsidRDefault="005B16D1" w:rsidP="005B16D1">
            <w:pPr>
              <w:pStyle w:val="a9"/>
              <w:ind w:firstLine="31680"/>
              <w:rPr>
                <w:rFonts w:cs="Times New Roman"/>
              </w:rPr>
            </w:pPr>
            <w:r>
              <w:rPr>
                <w:rFonts w:hint="eastAsia"/>
              </w:rPr>
              <w:t>根据</w:t>
            </w:r>
            <w:r>
              <w:t>GB 18265</w:t>
            </w:r>
            <w:r>
              <w:rPr>
                <w:rFonts w:hint="eastAsia"/>
              </w:rPr>
              <w:t>中的要求，应建立危险化学品储存柜追溯管理信息系统，应具备危险化学品储存柜生产单位、商标、型号、产地等信息管理功能。数据保存期限不少于</w:t>
            </w:r>
            <w:r>
              <w:t xml:space="preserve"> 2 </w:t>
            </w:r>
            <w:r>
              <w:rPr>
                <w:rFonts w:hint="eastAsia"/>
              </w:rPr>
              <w:t>年，且应异地实时备份。发放防伪溯源标志，以证实危险化学品储存柜符合本规范，防伪溯源编码技术应符合</w:t>
            </w:r>
            <w:r>
              <w:t>GB/T 34062</w:t>
            </w:r>
            <w:r>
              <w:rPr>
                <w:rFonts w:hint="eastAsia"/>
              </w:rPr>
              <w:t>。</w:t>
            </w:r>
            <w:bookmarkStart w:id="78" w:name="_Toc19969"/>
            <w:bookmarkStart w:id="79" w:name="_Toc2525"/>
          </w:p>
          <w:p w:rsidR="005B16D1" w:rsidRDefault="005B16D1">
            <w:pPr>
              <w:pStyle w:val="a9"/>
              <w:ind w:firstLineChars="0" w:firstLine="0"/>
              <w:rPr>
                <w:rFonts w:cs="Times New Roman"/>
              </w:rPr>
            </w:pPr>
            <w:r>
              <w:t>5.11</w:t>
            </w:r>
            <w:r>
              <w:rPr>
                <w:rFonts w:hint="eastAsia"/>
              </w:rPr>
              <w:t>门（单</w:t>
            </w:r>
            <w:r>
              <w:t>/</w:t>
            </w:r>
            <w:r>
              <w:rPr>
                <w:rFonts w:hint="eastAsia"/>
              </w:rPr>
              <w:t>双开门）</w:t>
            </w:r>
            <w:bookmarkEnd w:id="78"/>
            <w:bookmarkEnd w:id="79"/>
          </w:p>
          <w:p w:rsidR="005B16D1" w:rsidRDefault="005B16D1" w:rsidP="005B16D1">
            <w:pPr>
              <w:pStyle w:val="a9"/>
              <w:ind w:firstLine="31680"/>
              <w:rPr>
                <w:rFonts w:cs="Times New Roman"/>
              </w:rPr>
            </w:pPr>
            <w:r>
              <w:rPr>
                <w:rFonts w:hint="eastAsia"/>
              </w:rPr>
              <w:t>柜门应配备自锁装置，柜门宜安装闭门器及高温熔断装置，温度高于</w:t>
            </w:r>
            <w:r>
              <w:t xml:space="preserve"> 100 </w:t>
            </w:r>
            <w:r>
              <w:rPr>
                <w:rFonts w:hint="eastAsia"/>
              </w:rPr>
              <w:t>℃，门自动关闭，闭门器性能应符合</w:t>
            </w:r>
            <w:r>
              <w:t>GA 93</w:t>
            </w:r>
            <w:r>
              <w:rPr>
                <w:rFonts w:hint="eastAsia"/>
              </w:rPr>
              <w:t>的规定。</w:t>
            </w:r>
          </w:p>
          <w:p w:rsidR="005B16D1" w:rsidRDefault="005B16D1">
            <w:pPr>
              <w:pStyle w:val="a9"/>
              <w:ind w:firstLineChars="0" w:firstLine="0"/>
              <w:rPr>
                <w:rFonts w:cs="Times New Roman"/>
              </w:rPr>
            </w:pPr>
            <w:bookmarkStart w:id="80" w:name="_Toc10227"/>
            <w:bookmarkStart w:id="81" w:name="_Toc5053"/>
            <w:r>
              <w:t>5.12</w:t>
            </w:r>
            <w:r>
              <w:rPr>
                <w:rFonts w:hint="eastAsia"/>
              </w:rPr>
              <w:t>压缩气体气瓶柜设置要求</w:t>
            </w:r>
            <w:bookmarkEnd w:id="80"/>
            <w:bookmarkEnd w:id="81"/>
          </w:p>
          <w:p w:rsidR="005B16D1" w:rsidRDefault="005B16D1">
            <w:pPr>
              <w:pStyle w:val="a9"/>
              <w:ind w:firstLineChars="0" w:firstLine="0"/>
              <w:rPr>
                <w:rFonts w:cs="Times New Roman"/>
                <w:lang w:val="en-GB"/>
              </w:rPr>
            </w:pPr>
            <w:bookmarkStart w:id="82" w:name="_Toc16097"/>
            <w:r>
              <w:t>5.12.1</w:t>
            </w:r>
            <w:r>
              <w:rPr>
                <w:rFonts w:hint="eastAsia"/>
                <w:lang w:val="en-GB"/>
              </w:rPr>
              <w:t>毒性气体和易燃气体</w:t>
            </w:r>
            <w:r>
              <w:rPr>
                <w:rFonts w:hint="eastAsia"/>
              </w:rPr>
              <w:t>应</w:t>
            </w:r>
            <w:r>
              <w:rPr>
                <w:rFonts w:hint="eastAsia"/>
                <w:lang w:val="en-GB"/>
              </w:rPr>
              <w:t>设置有毒</w:t>
            </w:r>
            <w:r>
              <w:t>/</w:t>
            </w:r>
            <w:r>
              <w:rPr>
                <w:rFonts w:hint="eastAsia"/>
                <w:lang w:val="en-GB"/>
              </w:rPr>
              <w:t>可燃气体浓度报警检测装置，气体浓度检测探头应在检定有效期内。</w:t>
            </w:r>
            <w:bookmarkEnd w:id="82"/>
          </w:p>
          <w:p w:rsidR="005B16D1" w:rsidRDefault="005B16D1">
            <w:pPr>
              <w:pStyle w:val="a9"/>
              <w:ind w:firstLineChars="0" w:firstLine="0"/>
              <w:rPr>
                <w:rFonts w:cs="Times New Roman"/>
                <w:lang w:val="en-GB"/>
              </w:rPr>
            </w:pPr>
            <w:bookmarkStart w:id="83" w:name="_Toc20764"/>
            <w:r>
              <w:t>5.12.2</w:t>
            </w:r>
            <w:r>
              <w:rPr>
                <w:rFonts w:hint="eastAsia"/>
                <w:lang w:val="en-GB"/>
              </w:rPr>
              <w:t>气体浓度检测探头安装高度应符合</w:t>
            </w:r>
            <w:r>
              <w:rPr>
                <w:rFonts w:hint="eastAsia"/>
              </w:rPr>
              <w:t>如下</w:t>
            </w:r>
            <w:r>
              <w:rPr>
                <w:rFonts w:hint="eastAsia"/>
                <w:lang w:val="en-GB"/>
              </w:rPr>
              <w:t>要求：</w:t>
            </w:r>
          </w:p>
          <w:p w:rsidR="005B16D1" w:rsidRDefault="005B16D1" w:rsidP="005B16D1">
            <w:pPr>
              <w:pStyle w:val="a9"/>
              <w:ind w:firstLine="31680"/>
              <w:rPr>
                <w:rFonts w:cs="Times New Roman"/>
                <w:lang w:val="en-GB"/>
              </w:rPr>
            </w:pPr>
            <w:r>
              <w:t>a</w:t>
            </w:r>
            <w:r>
              <w:rPr>
                <w:rFonts w:hint="eastAsia"/>
                <w:lang w:val="en-GB"/>
              </w:rPr>
              <w:t>）探测</w:t>
            </w:r>
            <w:r>
              <w:rPr>
                <w:rFonts w:hint="eastAsia"/>
              </w:rPr>
              <w:t>到</w:t>
            </w:r>
            <w:r>
              <w:rPr>
                <w:rFonts w:hint="eastAsia"/>
                <w:lang w:val="en-GB"/>
              </w:rPr>
              <w:t>比空气重</w:t>
            </w:r>
            <w:r>
              <w:rPr>
                <w:rFonts w:hint="eastAsia"/>
              </w:rPr>
              <w:t>的</w:t>
            </w:r>
            <w:r>
              <w:rPr>
                <w:rFonts w:hint="eastAsia"/>
                <w:lang w:val="en-GB"/>
              </w:rPr>
              <w:t>气体，</w:t>
            </w:r>
            <w:r>
              <w:rPr>
                <w:rFonts w:hint="eastAsia"/>
              </w:rPr>
              <w:t>探头安</w:t>
            </w:r>
            <w:r>
              <w:rPr>
                <w:rFonts w:hint="eastAsia"/>
                <w:lang w:val="en-GB"/>
              </w:rPr>
              <w:t>装在</w:t>
            </w:r>
            <w:r>
              <w:rPr>
                <w:rFonts w:hint="eastAsia"/>
              </w:rPr>
              <w:t>柜体</w:t>
            </w:r>
            <w:r>
              <w:rPr>
                <w:rFonts w:hint="eastAsia"/>
                <w:lang w:val="en-GB"/>
              </w:rPr>
              <w:t>下部；</w:t>
            </w:r>
          </w:p>
          <w:p w:rsidR="005B16D1" w:rsidRDefault="005B16D1" w:rsidP="005B16D1">
            <w:pPr>
              <w:pStyle w:val="a9"/>
              <w:ind w:firstLine="31680"/>
              <w:rPr>
                <w:rFonts w:cs="Times New Roman"/>
                <w:lang w:val="en-GB"/>
              </w:rPr>
            </w:pPr>
            <w:r>
              <w:t>b</w:t>
            </w:r>
            <w:r>
              <w:rPr>
                <w:rFonts w:hint="eastAsia"/>
                <w:lang w:val="en-GB"/>
              </w:rPr>
              <w:t>）探测</w:t>
            </w:r>
            <w:r>
              <w:rPr>
                <w:rFonts w:hint="eastAsia"/>
              </w:rPr>
              <w:t>到</w:t>
            </w:r>
            <w:r>
              <w:rPr>
                <w:rFonts w:hint="eastAsia"/>
                <w:lang w:val="en-GB"/>
              </w:rPr>
              <w:t>比空气轻</w:t>
            </w:r>
            <w:r>
              <w:rPr>
                <w:rFonts w:hint="eastAsia"/>
              </w:rPr>
              <w:t>的</w:t>
            </w:r>
            <w:r>
              <w:rPr>
                <w:rFonts w:hint="eastAsia"/>
                <w:lang w:val="en-GB"/>
              </w:rPr>
              <w:t>气体，</w:t>
            </w:r>
            <w:r>
              <w:rPr>
                <w:rFonts w:hint="eastAsia"/>
              </w:rPr>
              <w:t>探头安</w:t>
            </w:r>
            <w:r>
              <w:rPr>
                <w:rFonts w:hint="eastAsia"/>
                <w:lang w:val="en-GB"/>
              </w:rPr>
              <w:t>装在</w:t>
            </w:r>
            <w:r>
              <w:rPr>
                <w:rFonts w:hint="eastAsia"/>
              </w:rPr>
              <w:t>柜体</w:t>
            </w:r>
            <w:r>
              <w:rPr>
                <w:rFonts w:hint="eastAsia"/>
                <w:lang w:val="en-GB"/>
              </w:rPr>
              <w:t>上部。</w:t>
            </w:r>
            <w:bookmarkEnd w:id="83"/>
          </w:p>
          <w:p w:rsidR="005B16D1" w:rsidRDefault="005B16D1">
            <w:pPr>
              <w:pStyle w:val="a9"/>
              <w:ind w:firstLineChars="0" w:firstLine="0"/>
              <w:rPr>
                <w:rFonts w:cs="Times New Roman"/>
                <w:lang w:val="en-GB"/>
              </w:rPr>
            </w:pPr>
            <w:bookmarkStart w:id="84" w:name="_Toc21924"/>
            <w:r>
              <w:t>5.12.3</w:t>
            </w:r>
            <w:r>
              <w:rPr>
                <w:rFonts w:hint="eastAsia"/>
                <w:lang w:val="en-GB"/>
              </w:rPr>
              <w:t>报警装置应具有声、光显示功能，应安装在工作人员易看到和听到的地方。</w:t>
            </w:r>
            <w:bookmarkEnd w:id="84"/>
          </w:p>
          <w:p w:rsidR="005B16D1" w:rsidRDefault="005B16D1">
            <w:pPr>
              <w:pStyle w:val="a9"/>
              <w:ind w:firstLineChars="0" w:firstLine="0"/>
              <w:rPr>
                <w:rFonts w:cs="Times New Roman"/>
                <w:lang w:val="en-GB"/>
              </w:rPr>
            </w:pPr>
            <w:bookmarkStart w:id="85" w:name="_Toc29650"/>
            <w:r>
              <w:t>5.12.4</w:t>
            </w:r>
            <w:r>
              <w:rPr>
                <w:rFonts w:hint="eastAsia"/>
                <w:lang w:val="en-GB"/>
              </w:rPr>
              <w:t>毒性气体不</w:t>
            </w:r>
            <w:r>
              <w:rPr>
                <w:rFonts w:hint="eastAsia"/>
              </w:rPr>
              <w:t>应</w:t>
            </w:r>
            <w:r>
              <w:rPr>
                <w:rFonts w:hint="eastAsia"/>
                <w:lang w:val="en-GB"/>
              </w:rPr>
              <w:t>直接排到室外。如设置自动联锁强排风扇，排风管应与吸收处理装置连接。</w:t>
            </w:r>
            <w:bookmarkEnd w:id="85"/>
          </w:p>
          <w:p w:rsidR="005B16D1" w:rsidRDefault="005B16D1">
            <w:pPr>
              <w:pStyle w:val="a9"/>
              <w:ind w:firstLineChars="0" w:firstLine="0"/>
              <w:rPr>
                <w:rFonts w:cs="Times New Roman"/>
                <w:lang w:val="en-GB"/>
              </w:rPr>
            </w:pPr>
            <w:bookmarkStart w:id="86" w:name="_Toc15781"/>
            <w:r>
              <w:t>5.12.5</w:t>
            </w:r>
            <w:r>
              <w:rPr>
                <w:rFonts w:hint="eastAsia"/>
                <w:lang w:val="en-GB"/>
              </w:rPr>
              <w:t>易燃气体气瓶储存柜应设置自动联锁强排风扇，排风管应接到室外，排风管应采用金属管道并接地。</w:t>
            </w:r>
            <w:bookmarkEnd w:id="86"/>
          </w:p>
          <w:p w:rsidR="005B16D1" w:rsidRDefault="005B16D1">
            <w:pPr>
              <w:pStyle w:val="a9"/>
              <w:ind w:firstLineChars="0" w:firstLine="0"/>
              <w:rPr>
                <w:rFonts w:cs="Times New Roman"/>
                <w:lang w:val="en-GB"/>
              </w:rPr>
            </w:pPr>
            <w:bookmarkStart w:id="87" w:name="_Toc15364"/>
            <w:r>
              <w:t>5.12.6</w:t>
            </w:r>
            <w:r>
              <w:rPr>
                <w:rFonts w:hint="eastAsia"/>
                <w:lang w:val="en-GB"/>
              </w:rPr>
              <w:t>易燃</w:t>
            </w:r>
            <w:r>
              <w:t>/</w:t>
            </w:r>
            <w:r>
              <w:rPr>
                <w:rFonts w:hint="eastAsia"/>
              </w:rPr>
              <w:t>毒性</w:t>
            </w:r>
            <w:r>
              <w:rPr>
                <w:rFonts w:hint="eastAsia"/>
                <w:lang w:val="en-GB"/>
              </w:rPr>
              <w:t>气体气瓶储存柜</w:t>
            </w:r>
            <w:r>
              <w:rPr>
                <w:rFonts w:hint="eastAsia"/>
              </w:rPr>
              <w:t>采用的</w:t>
            </w:r>
            <w:r>
              <w:rPr>
                <w:rFonts w:hint="eastAsia"/>
                <w:lang w:val="en-GB"/>
              </w:rPr>
              <w:t>防爆型有毒气体检（探）测器应取得防爆合格证。</w:t>
            </w:r>
            <w:bookmarkEnd w:id="87"/>
          </w:p>
          <w:p w:rsidR="005B16D1" w:rsidRDefault="005B16D1">
            <w:pPr>
              <w:pStyle w:val="a9"/>
              <w:ind w:firstLineChars="0" w:firstLine="0"/>
              <w:rPr>
                <w:rFonts w:cs="Times New Roman"/>
                <w:lang w:val="en-GB"/>
              </w:rPr>
            </w:pPr>
            <w:bookmarkStart w:id="88" w:name="_Toc4754"/>
            <w:r>
              <w:t>5.12.7</w:t>
            </w:r>
            <w:r>
              <w:rPr>
                <w:rFonts w:hint="eastAsia"/>
                <w:lang w:val="en-GB"/>
              </w:rPr>
              <w:t>柜内应安装防止气瓶倾倒的</w:t>
            </w:r>
            <w:r>
              <w:rPr>
                <w:rFonts w:hint="eastAsia"/>
              </w:rPr>
              <w:t>固定</w:t>
            </w:r>
            <w:r>
              <w:rPr>
                <w:rFonts w:hint="eastAsia"/>
                <w:lang w:val="en-GB"/>
              </w:rPr>
              <w:t>装置，如固定导轨、固定链条等。</w:t>
            </w:r>
            <w:bookmarkEnd w:id="88"/>
          </w:p>
          <w:p w:rsidR="005B16D1" w:rsidRDefault="005B16D1">
            <w:pPr>
              <w:pStyle w:val="a9"/>
              <w:ind w:firstLineChars="0" w:firstLine="0"/>
              <w:rPr>
                <w:rFonts w:cs="Times New Roman"/>
                <w:lang w:val="en-GB"/>
              </w:rPr>
            </w:pPr>
            <w:bookmarkStart w:id="89" w:name="_Toc10842"/>
            <w:r>
              <w:t>5.12.8</w:t>
            </w:r>
            <w:r>
              <w:rPr>
                <w:rFonts w:hint="eastAsia"/>
                <w:lang w:val="en-GB"/>
              </w:rPr>
              <w:t>柜体颜色应符合</w:t>
            </w:r>
            <w:r>
              <w:rPr>
                <w:lang w:val="en-GB"/>
              </w:rPr>
              <w:t>4.1</w:t>
            </w:r>
            <w:r>
              <w:rPr>
                <w:rFonts w:hint="eastAsia"/>
                <w:lang w:val="en-GB"/>
              </w:rPr>
              <w:t>的要求，并宜在柜体摆放位置标示黄色警示线。</w:t>
            </w:r>
            <w:bookmarkEnd w:id="89"/>
          </w:p>
          <w:p w:rsidR="005B16D1" w:rsidRDefault="005B16D1">
            <w:pPr>
              <w:pStyle w:val="a9"/>
              <w:ind w:firstLineChars="0" w:firstLine="0"/>
              <w:rPr>
                <w:rFonts w:cs="Times New Roman"/>
              </w:rPr>
            </w:pPr>
            <w:bookmarkStart w:id="90" w:name="_Toc8022"/>
            <w:bookmarkStart w:id="91" w:name="_Toc22012"/>
            <w:r>
              <w:t>5.13</w:t>
            </w:r>
            <w:r>
              <w:rPr>
                <w:rFonts w:hint="eastAsia"/>
              </w:rPr>
              <w:t>产品铭牌</w:t>
            </w:r>
            <w:bookmarkEnd w:id="90"/>
            <w:bookmarkEnd w:id="91"/>
          </w:p>
          <w:p w:rsidR="005B16D1" w:rsidRDefault="005B16D1" w:rsidP="005B16D1">
            <w:pPr>
              <w:pStyle w:val="a9"/>
              <w:ind w:firstLine="31680"/>
              <w:rPr>
                <w:rFonts w:cs="Times New Roman"/>
              </w:rPr>
            </w:pPr>
            <w:r>
              <w:rPr>
                <w:rFonts w:hint="eastAsia"/>
              </w:rPr>
              <w:t>制造单位应在储存柜左侧面的左上角张贴金属材质的产品铭牌，铭牌的颜色应清晰醒目、色泽均匀，不应有泛色</w:t>
            </w:r>
            <w:r>
              <w:t>,</w:t>
            </w:r>
            <w:r>
              <w:rPr>
                <w:rFonts w:hint="eastAsia"/>
              </w:rPr>
              <w:t>其主要内容见附录</w:t>
            </w:r>
            <w:r>
              <w:t>B</w:t>
            </w:r>
            <w:r>
              <w:rPr>
                <w:rFonts w:hint="eastAsia"/>
              </w:rPr>
              <w:t>。</w:t>
            </w:r>
          </w:p>
        </w:tc>
        <w:tc>
          <w:tcPr>
            <w:tcW w:w="5825" w:type="dxa"/>
          </w:tcPr>
          <w:p w:rsidR="005B16D1" w:rsidRDefault="005B16D1">
            <w:pPr>
              <w:spacing w:line="360" w:lineRule="auto"/>
              <w:jc w:val="left"/>
              <w:rPr>
                <w:rFonts w:ascii="宋体" w:cs="Times New Roman"/>
              </w:rPr>
            </w:pPr>
            <w:r>
              <w:rPr>
                <w:rFonts w:ascii="宋体" w:hAnsi="宋体" w:cs="宋体"/>
              </w:rPr>
              <w:t>5.1</w:t>
            </w:r>
            <w:r>
              <w:rPr>
                <w:rFonts w:ascii="宋体" w:hAnsi="宋体" w:cs="宋体" w:hint="eastAsia"/>
              </w:rPr>
              <w:t>《防盗保险柜》（</w:t>
            </w:r>
            <w:r>
              <w:rPr>
                <w:rFonts w:ascii="宋体" w:hAnsi="宋体" w:cs="宋体"/>
              </w:rPr>
              <w:t>GB 10409-2001</w:t>
            </w:r>
            <w:r>
              <w:rPr>
                <w:rFonts w:ascii="宋体" w:hAnsi="宋体" w:cs="宋体" w:hint="eastAsia"/>
              </w:rPr>
              <w:t>）第</w:t>
            </w:r>
            <w:r>
              <w:rPr>
                <w:rFonts w:ascii="宋体" w:hAnsi="宋体" w:cs="宋体"/>
              </w:rPr>
              <w:t>5.1.7</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5.2</w:t>
            </w:r>
            <w:r>
              <w:rPr>
                <w:rFonts w:ascii="宋体" w:hAnsi="宋体" w:cs="宋体" w:hint="eastAsia"/>
              </w:rPr>
              <w:t>创新；</w:t>
            </w:r>
          </w:p>
          <w:p w:rsidR="005B16D1" w:rsidRDefault="005B16D1">
            <w:pPr>
              <w:spacing w:line="360" w:lineRule="auto"/>
              <w:jc w:val="left"/>
              <w:rPr>
                <w:rFonts w:ascii="宋体" w:cs="Times New Roman"/>
              </w:rPr>
            </w:pPr>
            <w:r>
              <w:rPr>
                <w:rFonts w:ascii="宋体" w:hAnsi="宋体" w:cs="宋体"/>
              </w:rPr>
              <w:t>5.3</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1.9</w:t>
            </w:r>
            <w:r>
              <w:rPr>
                <w:rFonts w:ascii="宋体" w:hAnsi="宋体" w:cs="宋体" w:hint="eastAsia"/>
              </w:rPr>
              <w:t>节、第</w:t>
            </w:r>
            <w:r>
              <w:rPr>
                <w:rFonts w:ascii="宋体" w:hAnsi="宋体" w:cs="宋体"/>
              </w:rPr>
              <w:t>2.1</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5.4</w:t>
            </w:r>
            <w:r>
              <w:rPr>
                <w:rFonts w:ascii="宋体" w:hAnsi="宋体" w:cs="宋体" w:hint="eastAsia"/>
              </w:rPr>
              <w:t>创新；</w:t>
            </w:r>
          </w:p>
          <w:p w:rsidR="005B16D1" w:rsidRDefault="005B16D1">
            <w:pPr>
              <w:spacing w:line="360" w:lineRule="auto"/>
              <w:jc w:val="left"/>
              <w:rPr>
                <w:rFonts w:ascii="宋体" w:cs="Times New Roman"/>
              </w:rPr>
            </w:pPr>
            <w:r>
              <w:rPr>
                <w:rFonts w:ascii="宋体" w:hAnsi="宋体" w:cs="宋体"/>
              </w:rPr>
              <w:t>5.5</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4.1</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5.6.1</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4.2</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5.6.2</w:t>
            </w:r>
            <w:r>
              <w:rPr>
                <w:rFonts w:ascii="宋体" w:hAnsi="宋体" w:cs="宋体" w:hint="eastAsia"/>
              </w:rPr>
              <w:t>《防止静电事故通用导则》（</w:t>
            </w:r>
            <w:r>
              <w:rPr>
                <w:rFonts w:ascii="宋体" w:hAnsi="宋体" w:cs="宋体"/>
              </w:rPr>
              <w:t>GB 12158-2006</w:t>
            </w:r>
            <w:r>
              <w:rPr>
                <w:rFonts w:ascii="宋体" w:hAnsi="宋体" w:cs="宋体" w:hint="eastAsia"/>
              </w:rPr>
              <w:t>）第</w:t>
            </w:r>
            <w:r>
              <w:rPr>
                <w:rFonts w:ascii="宋体" w:hAnsi="宋体" w:cs="宋体"/>
              </w:rPr>
              <w:t>5.4</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 xml:space="preserve">5.7 </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3.2.1.C</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 xml:space="preserve">5.8 </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4.6</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5.9</w:t>
            </w:r>
            <w:r>
              <w:rPr>
                <w:rFonts w:ascii="宋体" w:hAnsi="宋体" w:cs="宋体" w:hint="eastAsia"/>
              </w:rPr>
              <w:t>《易制爆危险化学品储存场所治安防范要求》（</w:t>
            </w:r>
            <w:r>
              <w:rPr>
                <w:rFonts w:ascii="宋体" w:hAnsi="宋体" w:cs="宋体"/>
              </w:rPr>
              <w:t>GA 1511-2018</w:t>
            </w:r>
            <w:r>
              <w:rPr>
                <w:rFonts w:ascii="宋体" w:hAnsi="宋体" w:cs="宋体" w:hint="eastAsia"/>
              </w:rPr>
              <w:t>）第</w:t>
            </w:r>
            <w:r>
              <w:rPr>
                <w:rFonts w:ascii="宋体" w:hAnsi="宋体" w:cs="宋体"/>
              </w:rPr>
              <w:t>7.9</w:t>
            </w:r>
            <w:r>
              <w:rPr>
                <w:rFonts w:ascii="宋体" w:hAnsi="宋体" w:cs="宋体" w:hint="eastAsia"/>
              </w:rPr>
              <w:t>节，《防盗保险柜》（</w:t>
            </w:r>
            <w:r>
              <w:rPr>
                <w:rFonts w:ascii="宋体" w:hAnsi="宋体" w:cs="宋体"/>
              </w:rPr>
              <w:t>GB 10409-2001</w:t>
            </w:r>
            <w:r>
              <w:rPr>
                <w:rFonts w:ascii="宋体" w:hAnsi="宋体" w:cs="宋体" w:hint="eastAsia"/>
              </w:rPr>
              <w:t>）第</w:t>
            </w:r>
            <w:r>
              <w:rPr>
                <w:rFonts w:ascii="宋体" w:hAnsi="宋体" w:cs="宋体"/>
              </w:rPr>
              <w:t>5.3</w:t>
            </w:r>
            <w:r>
              <w:rPr>
                <w:rFonts w:ascii="宋体" w:hAnsi="宋体" w:cs="宋体" w:hint="eastAsia"/>
              </w:rPr>
              <w:t>节、第</w:t>
            </w:r>
            <w:r>
              <w:rPr>
                <w:rFonts w:ascii="宋体" w:hAnsi="宋体" w:cs="宋体"/>
              </w:rPr>
              <w:t>5.4</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5.10</w:t>
            </w:r>
            <w:r>
              <w:rPr>
                <w:rFonts w:ascii="宋体" w:hAnsi="宋体" w:cs="宋体" w:hint="eastAsia"/>
              </w:rPr>
              <w:t>《危险化学品经营企业安全技术基本要求（</w:t>
            </w:r>
            <w:r>
              <w:rPr>
                <w:rFonts w:ascii="宋体" w:hAnsi="宋体" w:cs="宋体"/>
              </w:rPr>
              <w:t>GB18265-2019</w:t>
            </w:r>
            <w:r>
              <w:rPr>
                <w:rFonts w:ascii="宋体" w:hAnsi="宋体" w:cs="宋体" w:hint="eastAsia"/>
              </w:rPr>
              <w:t>）第</w:t>
            </w:r>
            <w:r>
              <w:rPr>
                <w:rFonts w:ascii="宋体" w:hAnsi="宋体" w:cs="宋体"/>
              </w:rPr>
              <w:t>4.2.5</w:t>
            </w:r>
            <w:r>
              <w:rPr>
                <w:rFonts w:ascii="宋体" w:hAnsi="宋体" w:cs="宋体" w:hint="eastAsia"/>
              </w:rPr>
              <w:t>节，《防伪溯源编码技术条件》；</w:t>
            </w:r>
          </w:p>
          <w:p w:rsidR="005B16D1" w:rsidRDefault="005B16D1">
            <w:pPr>
              <w:spacing w:line="360" w:lineRule="auto"/>
              <w:jc w:val="left"/>
              <w:rPr>
                <w:rFonts w:ascii="宋体" w:cs="Times New Roman"/>
              </w:rPr>
            </w:pPr>
            <w:r>
              <w:rPr>
                <w:rFonts w:ascii="宋体" w:hAnsi="宋体" w:cs="宋体"/>
              </w:rPr>
              <w:t>5.11</w:t>
            </w:r>
            <w:r>
              <w:rPr>
                <w:rFonts w:ascii="宋体" w:hAnsi="宋体" w:cs="宋体" w:hint="eastAsia"/>
              </w:rPr>
              <w:t>《防火门闭门器》（</w:t>
            </w:r>
            <w:r>
              <w:rPr>
                <w:rFonts w:ascii="宋体" w:hAnsi="宋体" w:cs="宋体"/>
              </w:rPr>
              <w:t>GA 93-2004</w:t>
            </w:r>
            <w:r>
              <w:rPr>
                <w:rFonts w:ascii="宋体" w:hAnsi="宋体" w:cs="宋体" w:hint="eastAsia"/>
              </w:rPr>
              <w:t>）第</w:t>
            </w:r>
            <w:r>
              <w:rPr>
                <w:rFonts w:ascii="宋体" w:hAnsi="宋体" w:cs="宋体"/>
              </w:rPr>
              <w:t xml:space="preserve">6.3 </w:t>
            </w:r>
            <w:r>
              <w:rPr>
                <w:rFonts w:ascii="宋体" w:hAnsi="宋体" w:cs="宋体" w:hint="eastAsia"/>
              </w:rPr>
              <w:t>节，《储存柜（易燃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1.9</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5.12.1</w:t>
            </w:r>
            <w:r>
              <w:rPr>
                <w:rFonts w:ascii="宋体" w:hAnsi="宋体" w:cs="宋体" w:hint="eastAsia"/>
              </w:rPr>
              <w:t>《气瓶搬运、装卸、储存和使用安全规定》（</w:t>
            </w:r>
            <w:r>
              <w:rPr>
                <w:rFonts w:ascii="宋体" w:hAnsi="宋体" w:cs="宋体"/>
              </w:rPr>
              <w:t>GB/T 34525-2017</w:t>
            </w:r>
            <w:r>
              <w:rPr>
                <w:rFonts w:ascii="宋体" w:hAnsi="宋体" w:cs="宋体" w:hint="eastAsia"/>
              </w:rPr>
              <w:t>）第</w:t>
            </w:r>
            <w:r>
              <w:rPr>
                <w:rFonts w:ascii="宋体" w:hAnsi="宋体" w:cs="宋体"/>
              </w:rPr>
              <w:t>8.2.8</w:t>
            </w:r>
            <w:r>
              <w:rPr>
                <w:rFonts w:ascii="宋体" w:hAnsi="宋体" w:cs="宋体" w:hint="eastAsia"/>
              </w:rPr>
              <w:t>节；</w:t>
            </w:r>
          </w:p>
          <w:p w:rsidR="005B16D1" w:rsidRDefault="005B16D1">
            <w:pPr>
              <w:spacing w:line="360" w:lineRule="auto"/>
              <w:jc w:val="left"/>
              <w:rPr>
                <w:rFonts w:ascii="宋体" w:cs="Times New Roman"/>
                <w:color w:val="FF0000"/>
              </w:rPr>
            </w:pPr>
            <w:r>
              <w:rPr>
                <w:rFonts w:ascii="宋体" w:hAnsi="宋体" w:cs="宋体"/>
              </w:rPr>
              <w:t xml:space="preserve">5.12.2 </w:t>
            </w:r>
            <w:r>
              <w:rPr>
                <w:rFonts w:ascii="宋体" w:hAnsi="宋体" w:cs="宋体" w:hint="eastAsia"/>
              </w:rPr>
              <w:t>《石油化工可燃气体和有毒气体检测报警设计规范》（</w:t>
            </w:r>
            <w:r>
              <w:rPr>
                <w:rFonts w:ascii="宋体" w:hAnsi="宋体" w:cs="宋体"/>
              </w:rPr>
              <w:t>GB 50493-2009</w:t>
            </w:r>
            <w:r>
              <w:rPr>
                <w:rFonts w:ascii="宋体" w:hAnsi="宋体" w:cs="宋体" w:hint="eastAsia"/>
              </w:rPr>
              <w:t>）第</w:t>
            </w:r>
            <w:r>
              <w:rPr>
                <w:rFonts w:ascii="宋体" w:hAnsi="宋体" w:cs="宋体"/>
              </w:rPr>
              <w:t>6.1</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 xml:space="preserve">5.12.3 </w:t>
            </w:r>
            <w:r>
              <w:rPr>
                <w:rFonts w:ascii="宋体" w:hAnsi="宋体" w:cs="宋体" w:hint="eastAsia"/>
              </w:rPr>
              <w:t>《石油化工可燃气体和有毒气体检测报警设计规范》（</w:t>
            </w:r>
            <w:r>
              <w:rPr>
                <w:rFonts w:ascii="宋体" w:hAnsi="宋体" w:cs="宋体"/>
              </w:rPr>
              <w:t>GB 50493-2009</w:t>
            </w:r>
            <w:r>
              <w:rPr>
                <w:rFonts w:ascii="宋体" w:hAnsi="宋体" w:cs="宋体" w:hint="eastAsia"/>
              </w:rPr>
              <w:t>）第</w:t>
            </w:r>
            <w:r>
              <w:rPr>
                <w:rFonts w:ascii="宋体" w:hAnsi="宋体" w:cs="宋体"/>
              </w:rPr>
              <w:t>3.0.4</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5.12.4</w:t>
            </w:r>
            <w:r>
              <w:rPr>
                <w:rFonts w:ascii="宋体" w:hAnsi="宋体" w:cs="宋体" w:hint="eastAsia"/>
              </w:rPr>
              <w:t>创新；</w:t>
            </w:r>
          </w:p>
          <w:p w:rsidR="005B16D1" w:rsidRDefault="005B16D1">
            <w:pPr>
              <w:spacing w:line="360" w:lineRule="auto"/>
              <w:jc w:val="left"/>
              <w:rPr>
                <w:rFonts w:ascii="宋体" w:cs="Times New Roman"/>
              </w:rPr>
            </w:pPr>
            <w:r>
              <w:rPr>
                <w:rFonts w:ascii="宋体" w:hAnsi="宋体" w:cs="宋体"/>
              </w:rPr>
              <w:t>5.12.5</w:t>
            </w:r>
            <w:r>
              <w:rPr>
                <w:rFonts w:ascii="宋体" w:hAnsi="宋体" w:cs="宋体" w:hint="eastAsia"/>
              </w:rPr>
              <w:t>创新；</w:t>
            </w:r>
          </w:p>
          <w:p w:rsidR="005B16D1" w:rsidRDefault="005B16D1">
            <w:pPr>
              <w:spacing w:line="360" w:lineRule="auto"/>
              <w:jc w:val="left"/>
              <w:rPr>
                <w:rFonts w:ascii="宋体" w:cs="Times New Roman"/>
              </w:rPr>
            </w:pPr>
            <w:r>
              <w:rPr>
                <w:rFonts w:ascii="宋体" w:hAnsi="宋体" w:cs="宋体"/>
              </w:rPr>
              <w:t xml:space="preserve">5.12.6 </w:t>
            </w:r>
            <w:r>
              <w:rPr>
                <w:rFonts w:ascii="宋体" w:hAnsi="宋体" w:cs="宋体" w:hint="eastAsia"/>
              </w:rPr>
              <w:t>《</w:t>
            </w:r>
            <w:bookmarkStart w:id="92" w:name="OLE_LINK2"/>
            <w:r>
              <w:rPr>
                <w:rFonts w:ascii="宋体" w:hAnsi="宋体" w:cs="宋体" w:hint="eastAsia"/>
              </w:rPr>
              <w:t>石油化工可燃气体和有毒气体检测报警设计规范</w:t>
            </w:r>
            <w:bookmarkEnd w:id="92"/>
            <w:r>
              <w:rPr>
                <w:rFonts w:ascii="宋体" w:hAnsi="宋体" w:cs="宋体" w:hint="eastAsia"/>
              </w:rPr>
              <w:t>》（</w:t>
            </w:r>
            <w:r>
              <w:rPr>
                <w:rFonts w:ascii="宋体" w:hAnsi="宋体" w:cs="宋体"/>
              </w:rPr>
              <w:t>GB 50493-2009</w:t>
            </w:r>
            <w:r>
              <w:rPr>
                <w:rFonts w:ascii="宋体" w:hAnsi="宋体" w:cs="宋体" w:hint="eastAsia"/>
              </w:rPr>
              <w:t>）第</w:t>
            </w:r>
            <w:r>
              <w:rPr>
                <w:rFonts w:ascii="宋体" w:hAnsi="宋体" w:cs="宋体"/>
              </w:rPr>
              <w:t>3.0.6</w:t>
            </w:r>
            <w:r>
              <w:rPr>
                <w:rFonts w:ascii="宋体" w:hAnsi="宋体" w:cs="宋体" w:hint="eastAsia"/>
              </w:rPr>
              <w:t>、</w:t>
            </w:r>
            <w:r>
              <w:rPr>
                <w:rFonts w:ascii="宋体" w:hAnsi="宋体" w:cs="宋体"/>
              </w:rPr>
              <w:t>3.0.7</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5.12.7</w:t>
            </w:r>
            <w:r>
              <w:rPr>
                <w:rFonts w:ascii="宋体" w:hAnsi="宋体" w:cs="宋体" w:hint="eastAsia"/>
              </w:rPr>
              <w:t>《气瓶搬运、装卸、储存和使用安全规定》（</w:t>
            </w:r>
            <w:r>
              <w:rPr>
                <w:rFonts w:ascii="宋体" w:hAnsi="宋体" w:cs="宋体"/>
              </w:rPr>
              <w:t>GB/T 34525-2017</w:t>
            </w:r>
            <w:r>
              <w:rPr>
                <w:rFonts w:ascii="宋体" w:hAnsi="宋体" w:cs="宋体" w:hint="eastAsia"/>
              </w:rPr>
              <w:t>）第</w:t>
            </w:r>
            <w:r>
              <w:rPr>
                <w:rFonts w:ascii="宋体" w:hAnsi="宋体" w:cs="宋体"/>
              </w:rPr>
              <w:t>8.2.4</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5.12.8</w:t>
            </w:r>
            <w:r>
              <w:rPr>
                <w:rFonts w:ascii="宋体" w:hAnsi="宋体" w:cs="宋体" w:hint="eastAsia"/>
              </w:rPr>
              <w:t>创新；</w:t>
            </w:r>
          </w:p>
          <w:p w:rsidR="005B16D1" w:rsidRDefault="005B16D1">
            <w:pPr>
              <w:spacing w:line="360" w:lineRule="auto"/>
              <w:jc w:val="left"/>
              <w:rPr>
                <w:rFonts w:ascii="宋体" w:cs="Times New Roman"/>
                <w:color w:val="FF0000"/>
              </w:rPr>
            </w:pPr>
            <w:r>
              <w:rPr>
                <w:rFonts w:ascii="宋体" w:hAnsi="宋体" w:cs="宋体"/>
              </w:rPr>
              <w:t>5.13</w:t>
            </w:r>
            <w:r>
              <w:rPr>
                <w:rFonts w:ascii="宋体" w:hAnsi="宋体" w:cs="宋体" w:hint="eastAsia"/>
              </w:rPr>
              <w:t>《特种设备使用管理规则》（</w:t>
            </w:r>
            <w:r>
              <w:rPr>
                <w:rFonts w:ascii="宋体" w:hAnsi="宋体" w:cs="宋体"/>
              </w:rPr>
              <w:t>TSG 08-2017</w:t>
            </w:r>
            <w:r>
              <w:rPr>
                <w:rFonts w:ascii="宋体" w:hAnsi="宋体" w:cs="宋体" w:hint="eastAsia"/>
              </w:rPr>
              <w:t>）附件</w:t>
            </w:r>
            <w:r>
              <w:rPr>
                <w:rFonts w:ascii="宋体" w:hAnsi="宋体" w:cs="宋体"/>
              </w:rPr>
              <w:t>G</w:t>
            </w:r>
            <w:r>
              <w:rPr>
                <w:rFonts w:ascii="宋体" w:hAnsi="宋体" w:cs="宋体" w:hint="eastAsia"/>
              </w:rPr>
              <w:t>，《储存柜（易燃</w:t>
            </w:r>
            <w:r>
              <w:rPr>
                <w:rFonts w:ascii="宋体" w:hAnsi="宋体" w:cs="宋体"/>
              </w:rPr>
              <w:t>AMD</w:t>
            </w:r>
            <w:r>
              <w:rPr>
                <w:rFonts w:ascii="宋体" w:hAnsi="宋体" w:cs="宋体" w:hint="eastAsia"/>
              </w:rPr>
              <w:t>易燃液体）》（</w:t>
            </w:r>
            <w:r>
              <w:rPr>
                <w:rFonts w:ascii="宋体" w:hAnsi="宋体" w:cs="宋体"/>
              </w:rPr>
              <w:t>FM 6050-2016</w:t>
            </w:r>
            <w:r>
              <w:rPr>
                <w:rFonts w:ascii="宋体" w:hAnsi="宋体" w:cs="宋体" w:hint="eastAsia"/>
              </w:rPr>
              <w:t>）第</w:t>
            </w:r>
            <w:r>
              <w:rPr>
                <w:rFonts w:ascii="宋体" w:hAnsi="宋体" w:cs="宋体"/>
              </w:rPr>
              <w:t>3.3.1</w:t>
            </w:r>
            <w:r>
              <w:rPr>
                <w:rFonts w:ascii="宋体" w:hAnsi="宋体" w:cs="宋体" w:hint="eastAsia"/>
              </w:rPr>
              <w:t>节；</w:t>
            </w:r>
          </w:p>
          <w:p w:rsidR="005B16D1" w:rsidRDefault="005B16D1">
            <w:pPr>
              <w:spacing w:line="360" w:lineRule="auto"/>
              <w:jc w:val="left"/>
              <w:rPr>
                <w:rFonts w:ascii="宋体" w:cs="Times New Roman"/>
              </w:rPr>
            </w:pPr>
          </w:p>
          <w:p w:rsidR="005B16D1" w:rsidRDefault="005B16D1">
            <w:pPr>
              <w:spacing w:line="360" w:lineRule="auto"/>
              <w:jc w:val="left"/>
              <w:rPr>
                <w:rFonts w:ascii="宋体" w:cs="Times New Roman"/>
                <w:color w:val="FF0000"/>
              </w:rPr>
            </w:pPr>
          </w:p>
        </w:tc>
        <w:tc>
          <w:tcPr>
            <w:tcW w:w="1162" w:type="dxa"/>
          </w:tcPr>
          <w:p w:rsidR="005B16D1" w:rsidRDefault="005B16D1">
            <w:pPr>
              <w:spacing w:line="360" w:lineRule="auto"/>
              <w:jc w:val="center"/>
              <w:rPr>
                <w:rFonts w:ascii="宋体" w:cs="Times New Roman"/>
                <w:color w:val="FF0000"/>
              </w:rPr>
            </w:pPr>
          </w:p>
        </w:tc>
      </w:tr>
      <w:tr w:rsidR="005B16D1">
        <w:tc>
          <w:tcPr>
            <w:tcW w:w="881" w:type="dxa"/>
          </w:tcPr>
          <w:p w:rsidR="005B16D1" w:rsidRDefault="005B16D1">
            <w:pPr>
              <w:spacing w:line="480" w:lineRule="auto"/>
              <w:jc w:val="center"/>
              <w:rPr>
                <w:rFonts w:ascii="宋体" w:cs="Times New Roman"/>
              </w:rPr>
            </w:pPr>
            <w:r>
              <w:rPr>
                <w:rFonts w:ascii="宋体" w:hAnsi="宋体" w:cs="宋体"/>
              </w:rPr>
              <w:t>5</w:t>
            </w:r>
          </w:p>
        </w:tc>
        <w:tc>
          <w:tcPr>
            <w:tcW w:w="1456" w:type="dxa"/>
          </w:tcPr>
          <w:p w:rsidR="005B16D1" w:rsidRDefault="005B16D1" w:rsidP="00897B82">
            <w:pPr>
              <w:pStyle w:val="Heading1"/>
              <w:spacing w:beforeLines="100" w:afterLines="100"/>
              <w:rPr>
                <w:rFonts w:cs="Times New Roman"/>
              </w:rPr>
            </w:pPr>
            <w:bookmarkStart w:id="93" w:name="_Toc7969037"/>
            <w:r>
              <w:t xml:space="preserve">6  </w:t>
            </w:r>
            <w:r>
              <w:rPr>
                <w:rFonts w:hint="eastAsia"/>
              </w:rPr>
              <w:t>危险化学品储存柜使用安全管理要求</w:t>
            </w:r>
            <w:bookmarkEnd w:id="93"/>
          </w:p>
          <w:p w:rsidR="005B16D1" w:rsidRDefault="005B16D1">
            <w:pPr>
              <w:spacing w:line="360" w:lineRule="auto"/>
              <w:jc w:val="center"/>
              <w:rPr>
                <w:rFonts w:ascii="宋体" w:cs="Times New Roman"/>
              </w:rPr>
            </w:pPr>
          </w:p>
        </w:tc>
        <w:tc>
          <w:tcPr>
            <w:tcW w:w="5075" w:type="dxa"/>
          </w:tcPr>
          <w:p w:rsidR="005B16D1" w:rsidRDefault="005B16D1">
            <w:pPr>
              <w:pStyle w:val="a9"/>
              <w:ind w:firstLineChars="0" w:firstLine="0"/>
              <w:rPr>
                <w:rFonts w:cs="Times New Roman"/>
              </w:rPr>
            </w:pPr>
            <w:bookmarkStart w:id="94" w:name="_Toc19993"/>
            <w:bookmarkStart w:id="95" w:name="_Toc28873"/>
            <w:r>
              <w:t>6.1</w:t>
            </w:r>
            <w:r>
              <w:rPr>
                <w:rFonts w:hint="eastAsia"/>
              </w:rPr>
              <w:t>危险化学品储存柜存放及使用场所应满足以下安全管理要求</w:t>
            </w:r>
            <w:bookmarkEnd w:id="94"/>
            <w:r>
              <w:rPr>
                <w:rFonts w:hint="eastAsia"/>
              </w:rPr>
              <w:t>：</w:t>
            </w:r>
            <w:bookmarkEnd w:id="95"/>
          </w:p>
          <w:p w:rsidR="005B16D1" w:rsidRDefault="005B16D1" w:rsidP="005B16D1">
            <w:pPr>
              <w:pStyle w:val="a9"/>
              <w:ind w:firstLine="31680"/>
              <w:rPr>
                <w:rFonts w:cs="Times New Roman"/>
                <w:lang w:val="en-GB"/>
              </w:rPr>
            </w:pPr>
            <w:bookmarkStart w:id="96" w:name="_Toc9527"/>
            <w:r>
              <w:t>a</w:t>
            </w:r>
            <w:r>
              <w:rPr>
                <w:rFonts w:hint="eastAsia"/>
                <w:lang w:val="en-GB"/>
              </w:rPr>
              <w:t>）使用单位应根据储存危险化学品的性质、数量选择符合要求的储存柜，危险化学品储存柜可储存的常见危险化学品</w:t>
            </w:r>
            <w:r>
              <w:rPr>
                <w:rFonts w:hint="eastAsia"/>
              </w:rPr>
              <w:t>参</w:t>
            </w:r>
            <w:r>
              <w:rPr>
                <w:rFonts w:hint="eastAsia"/>
                <w:lang w:val="en-GB"/>
              </w:rPr>
              <w:t>见附录</w:t>
            </w:r>
            <w:r>
              <w:rPr>
                <w:lang w:val="en-GB"/>
              </w:rPr>
              <w:t>C</w:t>
            </w:r>
            <w:r>
              <w:rPr>
                <w:rFonts w:hint="eastAsia"/>
                <w:lang w:val="en-GB"/>
              </w:rPr>
              <w:t>。</w:t>
            </w:r>
            <w:bookmarkEnd w:id="96"/>
          </w:p>
          <w:p w:rsidR="005B16D1" w:rsidRDefault="005B16D1" w:rsidP="005B16D1">
            <w:pPr>
              <w:pStyle w:val="a9"/>
              <w:ind w:firstLine="31680"/>
              <w:rPr>
                <w:rFonts w:cs="Times New Roman"/>
                <w:lang w:val="en-GB"/>
              </w:rPr>
            </w:pPr>
            <w:bookmarkStart w:id="97" w:name="_Toc26265"/>
            <w:r>
              <w:t>b</w:t>
            </w:r>
            <w:r>
              <w:rPr>
                <w:rFonts w:hint="eastAsia"/>
                <w:lang w:val="en-GB"/>
              </w:rPr>
              <w:t>）危险化学品储存柜或柜组应独立设置，远离</w:t>
            </w:r>
            <w:bookmarkStart w:id="98" w:name="OLE_LINK3"/>
            <w:r>
              <w:rPr>
                <w:rFonts w:hint="eastAsia"/>
                <w:lang w:val="en-GB"/>
              </w:rPr>
              <w:t>火源、热源、电源</w:t>
            </w:r>
            <w:bookmarkEnd w:id="98"/>
            <w:r>
              <w:rPr>
                <w:rFonts w:hint="eastAsia"/>
                <w:lang w:val="en-GB"/>
              </w:rPr>
              <w:t>及产生火花的环境，周边</w:t>
            </w:r>
            <w:r>
              <w:t xml:space="preserve"> 1000 </w:t>
            </w:r>
            <w:r>
              <w:rPr>
                <w:lang w:val="en-GB"/>
              </w:rPr>
              <w:t>m</w:t>
            </w:r>
            <w:r>
              <w:t>m</w:t>
            </w:r>
            <w:r>
              <w:rPr>
                <w:rFonts w:hint="eastAsia"/>
                <w:lang w:val="en-GB"/>
              </w:rPr>
              <w:t>范围内不应放置杂物；当多个存放性质相近危险化学品</w:t>
            </w:r>
            <w:r>
              <w:rPr>
                <w:rFonts w:hint="eastAsia"/>
              </w:rPr>
              <w:t>的</w:t>
            </w:r>
            <w:r>
              <w:rPr>
                <w:rFonts w:hint="eastAsia"/>
                <w:lang w:val="en-GB"/>
              </w:rPr>
              <w:t>储存柜组成柜组时，相邻储存柜的间距不应小于</w:t>
            </w:r>
            <w:r>
              <w:rPr>
                <w:lang w:val="en-GB"/>
              </w:rPr>
              <w:t>150mm</w:t>
            </w:r>
            <w:r>
              <w:rPr>
                <w:rFonts w:hint="eastAsia"/>
                <w:lang w:val="en-GB"/>
              </w:rPr>
              <w:t>。</w:t>
            </w:r>
            <w:bookmarkEnd w:id="97"/>
          </w:p>
          <w:p w:rsidR="005B16D1" w:rsidRDefault="005B16D1" w:rsidP="005B16D1">
            <w:pPr>
              <w:pStyle w:val="a9"/>
              <w:ind w:firstLine="31680"/>
              <w:rPr>
                <w:rFonts w:cs="Times New Roman"/>
                <w:lang w:val="en-GB"/>
              </w:rPr>
            </w:pPr>
            <w:bookmarkStart w:id="99" w:name="_Toc8561"/>
            <w:r>
              <w:t>c</w:t>
            </w:r>
            <w:r>
              <w:rPr>
                <w:rFonts w:hint="eastAsia"/>
                <w:lang w:val="en-GB"/>
              </w:rPr>
              <w:t>）危险化学品包装容器泄漏、渗漏时，应迅速处理，不应</w:t>
            </w:r>
            <w:r>
              <w:rPr>
                <w:rFonts w:hint="eastAsia"/>
              </w:rPr>
              <w:t>继续</w:t>
            </w:r>
            <w:r>
              <w:rPr>
                <w:rFonts w:hint="eastAsia"/>
                <w:lang w:val="en-GB"/>
              </w:rPr>
              <w:t>存放在危险化学品储存柜内。</w:t>
            </w:r>
            <w:bookmarkEnd w:id="99"/>
          </w:p>
          <w:p w:rsidR="005B16D1" w:rsidRDefault="005B16D1" w:rsidP="005B16D1">
            <w:pPr>
              <w:pStyle w:val="a9"/>
              <w:ind w:firstLine="31680"/>
              <w:rPr>
                <w:rFonts w:cs="Times New Roman"/>
                <w:lang w:val="en-GB"/>
              </w:rPr>
            </w:pPr>
            <w:bookmarkStart w:id="100" w:name="_Toc14943"/>
            <w:r>
              <w:t>d</w:t>
            </w:r>
            <w:r>
              <w:rPr>
                <w:rFonts w:hint="eastAsia"/>
                <w:lang w:val="en-GB"/>
              </w:rPr>
              <w:t>）易燃液体和可燃液体储存柜柜体防静电接地装置</w:t>
            </w:r>
            <w:r>
              <w:rPr>
                <w:rFonts w:hint="eastAsia"/>
              </w:rPr>
              <w:t>应</w:t>
            </w:r>
            <w:r>
              <w:rPr>
                <w:rFonts w:hint="eastAsia"/>
                <w:lang w:val="en-GB"/>
              </w:rPr>
              <w:t>有效</w:t>
            </w:r>
            <w:r>
              <w:rPr>
                <w:rFonts w:hint="eastAsia"/>
              </w:rPr>
              <w:t>运行</w:t>
            </w:r>
            <w:r>
              <w:rPr>
                <w:rFonts w:hint="eastAsia"/>
                <w:lang w:val="en-GB"/>
              </w:rPr>
              <w:t>，静电接地体的接地电阻值应小于</w:t>
            </w:r>
            <w:r>
              <w:rPr>
                <w:lang w:val="en-GB"/>
              </w:rPr>
              <w:t>100</w:t>
            </w:r>
            <w:r>
              <w:rPr>
                <w:rFonts w:hint="eastAsia"/>
                <w:lang w:val="en-GB"/>
              </w:rPr>
              <w:t>Ω，静电防护的其他要求应符合</w:t>
            </w:r>
            <w:r>
              <w:rPr>
                <w:lang w:val="en-GB"/>
              </w:rPr>
              <w:t>GB 121585</w:t>
            </w:r>
            <w:r>
              <w:rPr>
                <w:rFonts w:hint="eastAsia"/>
                <w:lang w:val="en-GB"/>
              </w:rPr>
              <w:t>的要求。</w:t>
            </w:r>
            <w:bookmarkEnd w:id="100"/>
          </w:p>
          <w:p w:rsidR="005B16D1" w:rsidRDefault="005B16D1" w:rsidP="005B16D1">
            <w:pPr>
              <w:pStyle w:val="a9"/>
              <w:ind w:firstLine="31680"/>
              <w:rPr>
                <w:rFonts w:cs="Times New Roman"/>
                <w:lang w:val="en-GB"/>
              </w:rPr>
            </w:pPr>
            <w:bookmarkStart w:id="101" w:name="_Toc32746"/>
            <w:r>
              <w:t>e</w:t>
            </w:r>
            <w:r>
              <w:rPr>
                <w:rFonts w:hint="eastAsia"/>
                <w:lang w:val="en-GB"/>
              </w:rPr>
              <w:t>）危险化学品不应与</w:t>
            </w:r>
            <w:r>
              <w:rPr>
                <w:rFonts w:hint="eastAsia"/>
              </w:rPr>
              <w:t>相应的</w:t>
            </w:r>
            <w:r>
              <w:rPr>
                <w:rFonts w:hint="eastAsia"/>
                <w:lang w:val="en-GB"/>
              </w:rPr>
              <w:t>相禁忌化学品混合储存，危险化学品储存禁忌见附录</w:t>
            </w:r>
            <w:r>
              <w:rPr>
                <w:lang w:val="en-GB"/>
              </w:rPr>
              <w:t>D</w:t>
            </w:r>
            <w:r>
              <w:rPr>
                <w:rFonts w:hint="eastAsia"/>
                <w:lang w:val="en-GB"/>
              </w:rPr>
              <w:t>。</w:t>
            </w:r>
            <w:bookmarkEnd w:id="101"/>
          </w:p>
          <w:p w:rsidR="005B16D1" w:rsidRDefault="005B16D1" w:rsidP="005B16D1">
            <w:pPr>
              <w:pStyle w:val="a9"/>
              <w:ind w:firstLine="31680"/>
              <w:rPr>
                <w:rFonts w:cs="Times New Roman"/>
                <w:lang w:val="en-GB"/>
              </w:rPr>
            </w:pPr>
            <w:bookmarkStart w:id="102" w:name="_Toc30776"/>
            <w:r>
              <w:t>f</w:t>
            </w:r>
            <w:r>
              <w:rPr>
                <w:rFonts w:hint="eastAsia"/>
                <w:lang w:val="en-GB"/>
              </w:rPr>
              <w:t>）</w:t>
            </w:r>
            <w:bookmarkEnd w:id="102"/>
            <w:r>
              <w:rPr>
                <w:rFonts w:hint="eastAsia"/>
                <w:lang w:val="en-GB"/>
              </w:rPr>
              <w:t>危险化学品生产企业应当</w:t>
            </w:r>
            <w:r>
              <w:rPr>
                <w:rFonts w:hint="eastAsia"/>
              </w:rPr>
              <w:t>根据《危险化学品安全管理条例》的要求</w:t>
            </w:r>
            <w:r>
              <w:rPr>
                <w:rFonts w:hint="eastAsia"/>
                <w:lang w:val="en-GB"/>
              </w:rPr>
              <w:t>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rsidR="005B16D1" w:rsidRDefault="005B16D1" w:rsidP="005B16D1">
            <w:pPr>
              <w:pStyle w:val="a9"/>
              <w:ind w:firstLine="31680"/>
              <w:rPr>
                <w:rFonts w:cs="Times New Roman"/>
                <w:lang w:val="en-GB"/>
              </w:rPr>
            </w:pPr>
            <w:r>
              <w:t>g)</w:t>
            </w:r>
            <w:r>
              <w:rPr>
                <w:rFonts w:hint="eastAsia"/>
                <w:lang w:val="en-GB"/>
              </w:rPr>
              <w:t>领用危险化学品</w:t>
            </w:r>
            <w:r>
              <w:rPr>
                <w:rFonts w:hint="eastAsia"/>
              </w:rPr>
              <w:t>时</w:t>
            </w:r>
            <w:r>
              <w:rPr>
                <w:rFonts w:hint="eastAsia"/>
                <w:lang w:val="en-GB"/>
              </w:rPr>
              <w:t>，</w:t>
            </w:r>
            <w:r>
              <w:rPr>
                <w:rFonts w:hint="eastAsia"/>
              </w:rPr>
              <w:t>应</w:t>
            </w:r>
            <w:r>
              <w:rPr>
                <w:rFonts w:hint="eastAsia"/>
                <w:lang w:val="en-GB"/>
              </w:rPr>
              <w:t>做好相关记录。</w:t>
            </w:r>
          </w:p>
          <w:p w:rsidR="005B16D1" w:rsidRDefault="005B16D1" w:rsidP="005B16D1">
            <w:pPr>
              <w:pStyle w:val="a9"/>
              <w:ind w:firstLine="31680"/>
              <w:rPr>
                <w:rFonts w:cs="Times New Roman"/>
                <w:lang w:val="en-GB"/>
              </w:rPr>
            </w:pPr>
            <w:bookmarkStart w:id="103" w:name="_Toc16009"/>
            <w:r>
              <w:t>h</w:t>
            </w:r>
            <w:r>
              <w:rPr>
                <w:rFonts w:hint="eastAsia"/>
                <w:lang w:val="en-GB"/>
              </w:rPr>
              <w:t>）危险化学品储存柜</w:t>
            </w:r>
            <w:r>
              <w:rPr>
                <w:rFonts w:hint="eastAsia"/>
              </w:rPr>
              <w:t>存放场所</w:t>
            </w:r>
            <w:r>
              <w:rPr>
                <w:rFonts w:hint="eastAsia"/>
                <w:lang w:val="en-GB"/>
              </w:rPr>
              <w:t>应按</w:t>
            </w:r>
            <w:r>
              <w:rPr>
                <w:lang w:val="en-GB"/>
              </w:rPr>
              <w:t>GB 50140</w:t>
            </w:r>
            <w:r>
              <w:rPr>
                <w:rFonts w:hint="eastAsia"/>
                <w:lang w:val="en-GB"/>
              </w:rPr>
              <w:t>规定配备相应灭火器材。</w:t>
            </w:r>
            <w:bookmarkEnd w:id="103"/>
          </w:p>
          <w:p w:rsidR="005B16D1" w:rsidRDefault="005B16D1" w:rsidP="005B16D1">
            <w:pPr>
              <w:pStyle w:val="a9"/>
              <w:ind w:firstLine="31680"/>
              <w:rPr>
                <w:rFonts w:cs="Times New Roman"/>
                <w:lang w:val="en-GB"/>
              </w:rPr>
            </w:pPr>
            <w:r>
              <w:t>i</w:t>
            </w:r>
            <w:r>
              <w:rPr>
                <w:rFonts w:hint="eastAsia"/>
                <w:lang w:val="en-GB"/>
              </w:rPr>
              <w:t>）储存剧毒危险化学品时，应符合《危险化学品安全管理条例》（国务院令第</w:t>
            </w:r>
            <w:r>
              <w:rPr>
                <w:lang w:val="en-GB"/>
              </w:rPr>
              <w:t>591</w:t>
            </w:r>
            <w:r>
              <w:rPr>
                <w:rFonts w:hint="eastAsia"/>
                <w:lang w:val="en-GB"/>
              </w:rPr>
              <w:t>号）和《剧毒化学品购买和公路运输许可证件管理办法》（公安部令第</w:t>
            </w:r>
            <w:r>
              <w:rPr>
                <w:lang w:val="en-GB"/>
              </w:rPr>
              <w:t>77</w:t>
            </w:r>
            <w:r>
              <w:rPr>
                <w:rFonts w:hint="eastAsia"/>
                <w:lang w:val="en-GB"/>
              </w:rPr>
              <w:t>号）等法律法规的相关规定。</w:t>
            </w:r>
          </w:p>
          <w:p w:rsidR="005B16D1" w:rsidRDefault="005B16D1">
            <w:pPr>
              <w:pStyle w:val="a9"/>
              <w:ind w:firstLineChars="0" w:firstLine="0"/>
              <w:rPr>
                <w:rFonts w:cs="Times New Roman"/>
              </w:rPr>
            </w:pPr>
            <w:bookmarkStart w:id="104" w:name="_Toc5581"/>
            <w:bookmarkStart w:id="105" w:name="_Toc20707"/>
            <w:r>
              <w:t>6.2</w:t>
            </w:r>
            <w:r>
              <w:rPr>
                <w:rFonts w:hint="eastAsia"/>
              </w:rPr>
              <w:t>危险化学品储存柜管理制度要求</w:t>
            </w:r>
            <w:bookmarkEnd w:id="104"/>
            <w:bookmarkEnd w:id="105"/>
          </w:p>
          <w:p w:rsidR="005B16D1" w:rsidRDefault="005B16D1">
            <w:pPr>
              <w:pStyle w:val="a9"/>
              <w:ind w:firstLineChars="0" w:firstLine="0"/>
              <w:rPr>
                <w:rFonts w:cs="Times New Roman"/>
                <w:lang w:val="en-GB"/>
              </w:rPr>
            </w:pPr>
            <w:bookmarkStart w:id="106" w:name="_Toc293"/>
            <w:r>
              <w:t>6.2.1</w:t>
            </w:r>
            <w:r>
              <w:rPr>
                <w:rFonts w:hint="eastAsia"/>
                <w:lang w:val="en-GB"/>
              </w:rPr>
              <w:t>使用单位应制定危险化学品储存柜安全管理制度。</w:t>
            </w:r>
            <w:bookmarkEnd w:id="106"/>
          </w:p>
          <w:p w:rsidR="005B16D1" w:rsidRDefault="005B16D1">
            <w:pPr>
              <w:pStyle w:val="a9"/>
              <w:ind w:firstLineChars="0" w:firstLine="0"/>
              <w:rPr>
                <w:rFonts w:cs="Times New Roman"/>
                <w:lang w:val="en-GB"/>
              </w:rPr>
            </w:pPr>
            <w:bookmarkStart w:id="107" w:name="_Toc15267"/>
            <w:r>
              <w:t>6.2.2</w:t>
            </w:r>
            <w:r>
              <w:rPr>
                <w:rFonts w:hint="eastAsia"/>
                <w:lang w:val="en-GB"/>
              </w:rPr>
              <w:t>使用单位应编制危险化学品储存柜安全操作规程。</w:t>
            </w:r>
            <w:bookmarkEnd w:id="107"/>
          </w:p>
          <w:p w:rsidR="005B16D1" w:rsidRDefault="005B16D1">
            <w:pPr>
              <w:pStyle w:val="a9"/>
              <w:ind w:firstLineChars="0" w:firstLine="0"/>
              <w:rPr>
                <w:rFonts w:cs="Times New Roman"/>
              </w:rPr>
            </w:pPr>
            <w:bookmarkStart w:id="108" w:name="_Toc13591"/>
            <w:bookmarkStart w:id="109" w:name="_Toc26314"/>
            <w:r>
              <w:t>6.3</w:t>
            </w:r>
            <w:r>
              <w:rPr>
                <w:rFonts w:hint="eastAsia"/>
              </w:rPr>
              <w:t>应急处置</w:t>
            </w:r>
            <w:bookmarkEnd w:id="108"/>
            <w:bookmarkEnd w:id="109"/>
          </w:p>
          <w:p w:rsidR="005B16D1" w:rsidRDefault="005B16D1">
            <w:pPr>
              <w:pStyle w:val="a9"/>
              <w:ind w:firstLineChars="0" w:firstLine="0"/>
              <w:rPr>
                <w:rFonts w:cs="Times New Roman"/>
                <w:lang w:val="en-GB"/>
              </w:rPr>
            </w:pPr>
            <w:bookmarkStart w:id="110" w:name="_Toc24604"/>
            <w:r>
              <w:t>6.3.1</w:t>
            </w:r>
            <w:r>
              <w:rPr>
                <w:rFonts w:hint="eastAsia"/>
                <w:lang w:val="en-GB"/>
              </w:rPr>
              <w:t>使用单位应编制符合</w:t>
            </w:r>
            <w:r>
              <w:rPr>
                <w:lang w:val="en-GB"/>
              </w:rPr>
              <w:t>GB/T 29639</w:t>
            </w:r>
            <w:r>
              <w:rPr>
                <w:rFonts w:hint="eastAsia"/>
                <w:lang w:val="en-GB"/>
              </w:rPr>
              <w:t>要求的危险化学品储存柜现场处置方案</w:t>
            </w:r>
            <w:r>
              <w:rPr>
                <w:rFonts w:hint="eastAsia"/>
              </w:rPr>
              <w:t>及应</w:t>
            </w:r>
            <w:r>
              <w:rPr>
                <w:rFonts w:hint="eastAsia"/>
                <w:lang w:val="en-GB"/>
              </w:rPr>
              <w:t>急处置卡。</w:t>
            </w:r>
            <w:bookmarkEnd w:id="110"/>
          </w:p>
          <w:p w:rsidR="005B16D1" w:rsidRDefault="005B16D1">
            <w:pPr>
              <w:pStyle w:val="a9"/>
              <w:ind w:firstLineChars="0" w:firstLine="0"/>
              <w:rPr>
                <w:rFonts w:cs="Times New Roman"/>
                <w:lang w:val="en-GB"/>
              </w:rPr>
            </w:pPr>
            <w:bookmarkStart w:id="111" w:name="_Toc9153"/>
            <w:r>
              <w:t>6.3.2</w:t>
            </w:r>
            <w:r>
              <w:rPr>
                <w:rFonts w:hint="eastAsia"/>
                <w:lang w:val="en-GB"/>
              </w:rPr>
              <w:t>使用单位应每半年至少组织相关人员进行一次应急演练，并做好演练记录。</w:t>
            </w:r>
            <w:bookmarkEnd w:id="111"/>
          </w:p>
          <w:p w:rsidR="005B16D1" w:rsidRDefault="005B16D1">
            <w:pPr>
              <w:pStyle w:val="a9"/>
              <w:ind w:firstLineChars="0" w:firstLine="0"/>
              <w:rPr>
                <w:rFonts w:cs="Times New Roman"/>
              </w:rPr>
            </w:pPr>
            <w:bookmarkStart w:id="112" w:name="_Toc5794"/>
            <w:bookmarkStart w:id="113" w:name="_Toc10803"/>
            <w:r>
              <w:t>6.4</w:t>
            </w:r>
            <w:r>
              <w:rPr>
                <w:rFonts w:hint="eastAsia"/>
              </w:rPr>
              <w:t>管理人员要求</w:t>
            </w:r>
            <w:bookmarkEnd w:id="112"/>
            <w:bookmarkEnd w:id="113"/>
          </w:p>
          <w:p w:rsidR="005B16D1" w:rsidRDefault="005B16D1">
            <w:pPr>
              <w:pStyle w:val="a9"/>
              <w:ind w:firstLineChars="0" w:firstLine="0"/>
            </w:pPr>
            <w:bookmarkStart w:id="114" w:name="_Toc16940"/>
            <w:r>
              <w:t>6.4.1</w:t>
            </w:r>
            <w:r>
              <w:rPr>
                <w:rFonts w:hint="eastAsia"/>
                <w:lang w:val="en-GB"/>
              </w:rPr>
              <w:t>危险化学品储存柜管理人员应具备危险化学品安全使用知识和危险化学品事故应急处置能力</w:t>
            </w:r>
            <w:bookmarkEnd w:id="114"/>
            <w:r>
              <w:rPr>
                <w:rFonts w:hint="eastAsia"/>
              </w:rPr>
              <w:t>。</w:t>
            </w:r>
            <w:r>
              <w:t xml:space="preserve"> </w:t>
            </w:r>
          </w:p>
          <w:p w:rsidR="005B16D1" w:rsidRDefault="005B16D1">
            <w:pPr>
              <w:pStyle w:val="a9"/>
              <w:ind w:firstLineChars="0" w:firstLine="0"/>
              <w:rPr>
                <w:rFonts w:cs="Times New Roman"/>
                <w:lang w:val="en-GB"/>
              </w:rPr>
            </w:pPr>
            <w:bookmarkStart w:id="115" w:name="_Toc23050"/>
            <w:r>
              <w:t>6.4.2</w:t>
            </w:r>
            <w:r>
              <w:rPr>
                <w:rFonts w:hint="eastAsia"/>
                <w:lang w:val="en-GB"/>
              </w:rPr>
              <w:t>危险化学品储存柜管理人员应进行</w:t>
            </w:r>
            <w:r>
              <w:rPr>
                <w:rFonts w:hint="eastAsia"/>
              </w:rPr>
              <w:t>安全</w:t>
            </w:r>
            <w:r>
              <w:rPr>
                <w:rFonts w:hint="eastAsia"/>
                <w:lang w:val="en-GB"/>
              </w:rPr>
              <w:t>培训，经</w:t>
            </w:r>
            <w:r>
              <w:rPr>
                <w:rFonts w:hint="eastAsia"/>
              </w:rPr>
              <w:t>使用单位</w:t>
            </w:r>
            <w:r>
              <w:rPr>
                <w:rFonts w:hint="eastAsia"/>
                <w:lang w:val="en-GB"/>
              </w:rPr>
              <w:t>考核合格后才能上岗。</w:t>
            </w:r>
            <w:bookmarkEnd w:id="115"/>
          </w:p>
          <w:p w:rsidR="005B16D1" w:rsidRDefault="005B16D1">
            <w:pPr>
              <w:pStyle w:val="a9"/>
              <w:ind w:firstLineChars="0" w:firstLine="0"/>
              <w:rPr>
                <w:rFonts w:cs="Times New Roman"/>
                <w:lang w:val="en-GB"/>
              </w:rPr>
            </w:pPr>
            <w:bookmarkStart w:id="116" w:name="_Toc3584"/>
            <w:r>
              <w:t>6.4.3</w:t>
            </w:r>
            <w:r>
              <w:rPr>
                <w:rFonts w:hint="eastAsia"/>
                <w:lang w:val="en-GB"/>
              </w:rPr>
              <w:t>危险化学品储存柜管理人员应配戴相应个体劳动防护用品，应符合</w:t>
            </w:r>
            <w:r>
              <w:rPr>
                <w:lang w:val="en-GB"/>
              </w:rPr>
              <w:t>GB/T 29510</w:t>
            </w:r>
            <w:r>
              <w:rPr>
                <w:rFonts w:hint="eastAsia"/>
                <w:lang w:val="en-GB"/>
              </w:rPr>
              <w:t>的规定。</w:t>
            </w:r>
            <w:bookmarkEnd w:id="116"/>
          </w:p>
          <w:p w:rsidR="005B16D1" w:rsidRDefault="005B16D1">
            <w:pPr>
              <w:pStyle w:val="a9"/>
              <w:ind w:firstLineChars="0" w:firstLine="0"/>
              <w:rPr>
                <w:rFonts w:cs="Times New Roman"/>
              </w:rPr>
            </w:pPr>
            <w:bookmarkStart w:id="117" w:name="_Toc18897"/>
            <w:bookmarkStart w:id="118" w:name="_Toc13434"/>
            <w:r>
              <w:t>6.5</w:t>
            </w:r>
            <w:r>
              <w:rPr>
                <w:rFonts w:hint="eastAsia"/>
              </w:rPr>
              <w:t>危险化学品储存柜安全检查及维修</w:t>
            </w:r>
            <w:bookmarkEnd w:id="117"/>
            <w:bookmarkEnd w:id="118"/>
          </w:p>
          <w:p w:rsidR="005B16D1" w:rsidRDefault="005B16D1">
            <w:pPr>
              <w:pStyle w:val="a9"/>
              <w:ind w:firstLineChars="0" w:firstLine="0"/>
              <w:rPr>
                <w:rFonts w:cs="Times New Roman"/>
                <w:lang w:val="en-GB"/>
              </w:rPr>
            </w:pPr>
            <w:bookmarkStart w:id="119" w:name="_Toc10705"/>
            <w:r>
              <w:t>6.5.1</w:t>
            </w:r>
            <w:r>
              <w:rPr>
                <w:rFonts w:hint="eastAsia"/>
                <w:lang w:val="en-GB"/>
              </w:rPr>
              <w:t>使用单位应定期对危险化学品储存柜进行安全检查、维护，检查项目应包括但不限于：</w:t>
            </w:r>
            <w:bookmarkEnd w:id="119"/>
          </w:p>
          <w:p w:rsidR="005B16D1" w:rsidRDefault="005B16D1" w:rsidP="005B16D1">
            <w:pPr>
              <w:pStyle w:val="a9"/>
              <w:ind w:firstLine="31680"/>
              <w:rPr>
                <w:rFonts w:cs="Times New Roman"/>
              </w:rPr>
            </w:pPr>
            <w:r>
              <w:t xml:space="preserve">a) </w:t>
            </w:r>
            <w:r>
              <w:rPr>
                <w:rFonts w:hint="eastAsia"/>
              </w:rPr>
              <w:t>柜体外观完好整洁，无锈蚀。</w:t>
            </w:r>
          </w:p>
          <w:p w:rsidR="005B16D1" w:rsidRDefault="005B16D1" w:rsidP="005B16D1">
            <w:pPr>
              <w:pStyle w:val="a9"/>
              <w:ind w:firstLine="31680"/>
              <w:rPr>
                <w:rFonts w:cs="Times New Roman"/>
              </w:rPr>
            </w:pPr>
            <w:r>
              <w:t xml:space="preserve">b) </w:t>
            </w:r>
            <w:r>
              <w:rPr>
                <w:rFonts w:hint="eastAsia"/>
              </w:rPr>
              <w:t>防静电接地装置牢固、无锈蚀，标识清晰完整。</w:t>
            </w:r>
          </w:p>
          <w:p w:rsidR="005B16D1" w:rsidRDefault="005B16D1" w:rsidP="005B16D1">
            <w:pPr>
              <w:pStyle w:val="a9"/>
              <w:ind w:firstLine="31680"/>
              <w:rPr>
                <w:rFonts w:cs="Times New Roman"/>
              </w:rPr>
            </w:pPr>
            <w:r>
              <w:t xml:space="preserve">c) </w:t>
            </w:r>
            <w:r>
              <w:rPr>
                <w:rFonts w:hint="eastAsia"/>
              </w:rPr>
              <w:t>通风口完好畅通，标识清晰完整。</w:t>
            </w:r>
          </w:p>
          <w:p w:rsidR="005B16D1" w:rsidRDefault="005B16D1" w:rsidP="005B16D1">
            <w:pPr>
              <w:pStyle w:val="a9"/>
              <w:ind w:firstLine="31680"/>
              <w:rPr>
                <w:rFonts w:cs="Times New Roman"/>
              </w:rPr>
            </w:pPr>
            <w:r>
              <w:t xml:space="preserve">d) </w:t>
            </w:r>
            <w:r>
              <w:rPr>
                <w:rFonts w:hint="eastAsia"/>
              </w:rPr>
              <w:t>物品摆放整齐，包装无破损、渗漏。</w:t>
            </w:r>
          </w:p>
          <w:p w:rsidR="005B16D1" w:rsidRDefault="005B16D1" w:rsidP="005B16D1">
            <w:pPr>
              <w:pStyle w:val="a9"/>
              <w:ind w:firstLine="31680"/>
              <w:rPr>
                <w:rFonts w:cs="Times New Roman"/>
              </w:rPr>
            </w:pPr>
            <w:r>
              <w:t xml:space="preserve">e) </w:t>
            </w:r>
            <w:r>
              <w:rPr>
                <w:rFonts w:hint="eastAsia"/>
              </w:rPr>
              <w:t>气体浓度检测探头准确度标定。</w:t>
            </w:r>
          </w:p>
          <w:p w:rsidR="005B16D1" w:rsidRDefault="005B16D1" w:rsidP="005B16D1">
            <w:pPr>
              <w:pStyle w:val="a9"/>
              <w:ind w:firstLine="31680"/>
              <w:rPr>
                <w:rFonts w:cs="Times New Roman"/>
              </w:rPr>
            </w:pPr>
            <w:r>
              <w:t xml:space="preserve">f) </w:t>
            </w:r>
            <w:r>
              <w:rPr>
                <w:rFonts w:hint="eastAsia"/>
              </w:rPr>
              <w:t>盛漏槽无破损、渗漏。</w:t>
            </w:r>
          </w:p>
          <w:p w:rsidR="005B16D1" w:rsidRDefault="005B16D1">
            <w:pPr>
              <w:pStyle w:val="a9"/>
              <w:ind w:firstLineChars="0" w:firstLine="0"/>
              <w:rPr>
                <w:rFonts w:hAnsi="宋体" w:cs="Times New Roman"/>
                <w:color w:val="FF0000"/>
              </w:rPr>
            </w:pPr>
            <w:bookmarkStart w:id="120" w:name="_Toc15048"/>
            <w:r>
              <w:t>6.5.2</w:t>
            </w:r>
            <w:r>
              <w:rPr>
                <w:rFonts w:hint="eastAsia"/>
                <w:lang w:val="en-GB"/>
              </w:rPr>
              <w:t>维修危险化学品储存柜时，应清理出柜内危险化学品后再</w:t>
            </w:r>
            <w:r>
              <w:rPr>
                <w:rFonts w:hint="eastAsia"/>
              </w:rPr>
              <w:t>进</w:t>
            </w:r>
            <w:r>
              <w:rPr>
                <w:rFonts w:hint="eastAsia"/>
                <w:lang w:val="en-GB"/>
              </w:rPr>
              <w:t>行作业，</w:t>
            </w:r>
            <w:r>
              <w:rPr>
                <w:rFonts w:hint="eastAsia"/>
              </w:rPr>
              <w:t>并做好相应的维修记录</w:t>
            </w:r>
            <w:r>
              <w:rPr>
                <w:rFonts w:hint="eastAsia"/>
                <w:lang w:val="en-GB"/>
              </w:rPr>
              <w:t>。</w:t>
            </w:r>
            <w:bookmarkStart w:id="121" w:name="_Toc108593927"/>
            <w:bookmarkEnd w:id="120"/>
            <w:bookmarkEnd w:id="121"/>
          </w:p>
        </w:tc>
        <w:tc>
          <w:tcPr>
            <w:tcW w:w="5825" w:type="dxa"/>
          </w:tcPr>
          <w:p w:rsidR="005B16D1" w:rsidRDefault="005B16D1">
            <w:pPr>
              <w:spacing w:line="360" w:lineRule="auto"/>
              <w:jc w:val="left"/>
              <w:rPr>
                <w:rFonts w:ascii="宋体" w:cs="Times New Roman"/>
              </w:rPr>
            </w:pPr>
            <w:r>
              <w:rPr>
                <w:rFonts w:ascii="宋体" w:hAnsi="宋体" w:cs="宋体"/>
              </w:rPr>
              <w:t>6.1 a</w:t>
            </w:r>
            <w:r>
              <w:rPr>
                <w:rFonts w:ascii="宋体" w:hAnsi="宋体" w:cs="宋体" w:hint="eastAsia"/>
              </w:rPr>
              <w:t>）《危险化学品安全管理条例》（国务院令第</w:t>
            </w:r>
            <w:r>
              <w:rPr>
                <w:rFonts w:ascii="宋体" w:hAnsi="宋体" w:cs="宋体"/>
              </w:rPr>
              <w:t>591</w:t>
            </w:r>
            <w:r>
              <w:rPr>
                <w:rFonts w:ascii="宋体" w:hAnsi="宋体" w:cs="宋体" w:hint="eastAsia"/>
              </w:rPr>
              <w:t>号）第二章第十七条；</w:t>
            </w:r>
          </w:p>
          <w:p w:rsidR="005B16D1" w:rsidRDefault="005B16D1">
            <w:pPr>
              <w:spacing w:line="360" w:lineRule="auto"/>
              <w:jc w:val="left"/>
              <w:rPr>
                <w:rFonts w:ascii="宋体" w:cs="Times New Roman"/>
              </w:rPr>
            </w:pPr>
            <w:r>
              <w:rPr>
                <w:rFonts w:ascii="宋体" w:hAnsi="宋体" w:cs="宋体"/>
              </w:rPr>
              <w:t>6.1 b</w:t>
            </w:r>
            <w:r>
              <w:rPr>
                <w:rFonts w:ascii="宋体" w:hAnsi="宋体" w:cs="宋体" w:hint="eastAsia"/>
              </w:rPr>
              <w:t>）创新；</w:t>
            </w:r>
          </w:p>
          <w:p w:rsidR="005B16D1" w:rsidRDefault="005B16D1">
            <w:pPr>
              <w:spacing w:line="360" w:lineRule="auto"/>
              <w:jc w:val="left"/>
              <w:rPr>
                <w:rFonts w:ascii="宋体" w:cs="Times New Roman"/>
              </w:rPr>
            </w:pPr>
            <w:r>
              <w:rPr>
                <w:rFonts w:ascii="宋体" w:hAnsi="宋体" w:cs="宋体"/>
              </w:rPr>
              <w:t>6.1 c</w:t>
            </w:r>
            <w:r>
              <w:rPr>
                <w:rFonts w:ascii="宋体" w:hAnsi="宋体" w:cs="宋体" w:hint="eastAsia"/>
              </w:rPr>
              <w:t>）《危险化学品安全管理条例》（国务院令第</w:t>
            </w:r>
            <w:r>
              <w:rPr>
                <w:rFonts w:ascii="宋体" w:hAnsi="宋体" w:cs="宋体"/>
              </w:rPr>
              <w:t>591</w:t>
            </w:r>
            <w:r>
              <w:rPr>
                <w:rFonts w:ascii="宋体" w:hAnsi="宋体" w:cs="宋体" w:hint="eastAsia"/>
              </w:rPr>
              <w:t>号）第二章第十八条，《常用化学危险品贮存通则》（</w:t>
            </w:r>
            <w:r>
              <w:rPr>
                <w:rFonts w:ascii="宋体" w:hAnsi="宋体" w:cs="宋体"/>
              </w:rPr>
              <w:t>GB 15603-1995</w:t>
            </w:r>
            <w:r>
              <w:rPr>
                <w:rFonts w:ascii="宋体" w:hAnsi="宋体" w:cs="宋体" w:hint="eastAsia"/>
              </w:rPr>
              <w:t>）第</w:t>
            </w:r>
            <w:r>
              <w:rPr>
                <w:rFonts w:ascii="宋体" w:hAnsi="宋体" w:cs="宋体"/>
              </w:rPr>
              <w:t>7.1</w:t>
            </w:r>
            <w:r>
              <w:rPr>
                <w:rFonts w:ascii="宋体" w:hAnsi="宋体" w:cs="宋体" w:hint="eastAsia"/>
              </w:rPr>
              <w:t>节、第</w:t>
            </w:r>
            <w:r>
              <w:rPr>
                <w:rFonts w:ascii="宋体" w:hAnsi="宋体" w:cs="宋体"/>
              </w:rPr>
              <w:t>7.2</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6.1 d</w:t>
            </w:r>
            <w:r>
              <w:rPr>
                <w:rFonts w:ascii="宋体" w:hAnsi="宋体" w:cs="宋体" w:hint="eastAsia"/>
              </w:rPr>
              <w:t>）《防止静电事故通用导则》（</w:t>
            </w:r>
            <w:r>
              <w:rPr>
                <w:rFonts w:ascii="宋体" w:hAnsi="宋体" w:cs="宋体"/>
              </w:rPr>
              <w:t>GB 12158-2006</w:t>
            </w:r>
            <w:r>
              <w:rPr>
                <w:rFonts w:ascii="宋体" w:hAnsi="宋体" w:cs="宋体" w:hint="eastAsia"/>
              </w:rPr>
              <w:t>）第</w:t>
            </w:r>
            <w:r>
              <w:rPr>
                <w:rFonts w:ascii="宋体" w:hAnsi="宋体" w:cs="宋体"/>
              </w:rPr>
              <w:t>5</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6.1 e</w:t>
            </w:r>
            <w:r>
              <w:rPr>
                <w:rFonts w:ascii="宋体" w:hAnsi="宋体" w:cs="宋体" w:hint="eastAsia"/>
              </w:rPr>
              <w:t>）《常用化学危险品贮存通则》（</w:t>
            </w:r>
            <w:r>
              <w:rPr>
                <w:rFonts w:ascii="宋体" w:hAnsi="宋体" w:cs="宋体"/>
              </w:rPr>
              <w:t>GB 15603-1995</w:t>
            </w:r>
            <w:r>
              <w:rPr>
                <w:rFonts w:ascii="宋体" w:hAnsi="宋体" w:cs="宋体" w:hint="eastAsia"/>
              </w:rPr>
              <w:t>）第</w:t>
            </w:r>
            <w:r>
              <w:rPr>
                <w:rFonts w:ascii="宋体" w:hAnsi="宋体" w:cs="宋体"/>
              </w:rPr>
              <w:t>6</w:t>
            </w:r>
            <w:r>
              <w:rPr>
                <w:rFonts w:ascii="宋体" w:hAnsi="宋体" w:cs="宋体" w:hint="eastAsia"/>
              </w:rPr>
              <w:t>节和附录</w:t>
            </w:r>
            <w:r>
              <w:rPr>
                <w:rFonts w:ascii="宋体" w:hAnsi="宋体" w:cs="宋体"/>
              </w:rPr>
              <w:t>A</w:t>
            </w:r>
            <w:r>
              <w:rPr>
                <w:rFonts w:ascii="宋体" w:hAnsi="宋体" w:cs="宋体" w:hint="eastAsia"/>
              </w:rPr>
              <w:t>；</w:t>
            </w:r>
          </w:p>
          <w:p w:rsidR="005B16D1" w:rsidRDefault="005B16D1">
            <w:pPr>
              <w:spacing w:line="360" w:lineRule="auto"/>
              <w:jc w:val="left"/>
              <w:rPr>
                <w:rFonts w:ascii="宋体" w:cs="Times New Roman"/>
              </w:rPr>
            </w:pPr>
            <w:r>
              <w:rPr>
                <w:rFonts w:ascii="宋体" w:hAnsi="宋体" w:cs="宋体"/>
              </w:rPr>
              <w:t>6.1 f</w:t>
            </w:r>
            <w:r>
              <w:rPr>
                <w:rFonts w:ascii="宋体" w:hAnsi="宋体" w:cs="宋体" w:hint="eastAsia"/>
              </w:rPr>
              <w:t>）《</w:t>
            </w:r>
            <w:bookmarkStart w:id="122" w:name="OLE_LINK4"/>
            <w:r>
              <w:rPr>
                <w:rFonts w:ascii="宋体" w:hAnsi="宋体" w:cs="宋体" w:hint="eastAsia"/>
              </w:rPr>
              <w:t>危险化学品安全管理条例</w:t>
            </w:r>
            <w:bookmarkEnd w:id="122"/>
            <w:r>
              <w:rPr>
                <w:rFonts w:ascii="宋体" w:hAnsi="宋体" w:cs="宋体" w:hint="eastAsia"/>
              </w:rPr>
              <w:t>》（国务院令第</w:t>
            </w:r>
            <w:r>
              <w:rPr>
                <w:rFonts w:ascii="宋体" w:hAnsi="宋体" w:cs="宋体"/>
              </w:rPr>
              <w:t>591</w:t>
            </w:r>
            <w:r>
              <w:rPr>
                <w:rFonts w:ascii="宋体" w:hAnsi="宋体" w:cs="宋体" w:hint="eastAsia"/>
              </w:rPr>
              <w:t>号）第二章第十五条；</w:t>
            </w:r>
          </w:p>
          <w:p w:rsidR="005B16D1" w:rsidRDefault="005B16D1">
            <w:pPr>
              <w:spacing w:line="360" w:lineRule="auto"/>
              <w:jc w:val="left"/>
              <w:rPr>
                <w:rFonts w:ascii="宋体" w:cs="Times New Roman"/>
              </w:rPr>
            </w:pPr>
            <w:r>
              <w:rPr>
                <w:rFonts w:ascii="宋体" w:hAnsi="宋体" w:cs="宋体"/>
              </w:rPr>
              <w:t>6.1 g</w:t>
            </w:r>
            <w:r>
              <w:rPr>
                <w:rFonts w:ascii="宋体" w:hAnsi="宋体" w:cs="宋体" w:hint="eastAsia"/>
              </w:rPr>
              <w:t>）《危险化学品安全管理条例》（国务院令第</w:t>
            </w:r>
            <w:r>
              <w:rPr>
                <w:rFonts w:ascii="宋体" w:hAnsi="宋体" w:cs="宋体"/>
              </w:rPr>
              <w:t>591</w:t>
            </w:r>
            <w:r>
              <w:rPr>
                <w:rFonts w:ascii="宋体" w:hAnsi="宋体" w:cs="宋体" w:hint="eastAsia"/>
              </w:rPr>
              <w:t>号）第二章第二十五条；</w:t>
            </w:r>
          </w:p>
          <w:p w:rsidR="005B16D1" w:rsidRDefault="005B16D1">
            <w:pPr>
              <w:spacing w:line="360" w:lineRule="auto"/>
              <w:jc w:val="left"/>
              <w:rPr>
                <w:rFonts w:ascii="宋体" w:cs="Times New Roman"/>
              </w:rPr>
            </w:pPr>
            <w:r>
              <w:rPr>
                <w:rFonts w:ascii="宋体" w:hAnsi="宋体" w:cs="宋体"/>
              </w:rPr>
              <w:t>6.1 h</w:t>
            </w:r>
            <w:r>
              <w:rPr>
                <w:rFonts w:ascii="宋体" w:hAnsi="宋体" w:cs="宋体" w:hint="eastAsia"/>
              </w:rPr>
              <w:t>）《建筑灭火器配置设计规范》（</w:t>
            </w:r>
            <w:r>
              <w:rPr>
                <w:rFonts w:ascii="宋体" w:hAnsi="宋体" w:cs="宋体"/>
              </w:rPr>
              <w:t>GB 50140-2005</w:t>
            </w:r>
            <w:r>
              <w:rPr>
                <w:rFonts w:ascii="宋体" w:hAnsi="宋体" w:cs="宋体" w:hint="eastAsia"/>
              </w:rPr>
              <w:t>）第</w:t>
            </w:r>
            <w:r>
              <w:rPr>
                <w:rFonts w:ascii="宋体" w:hAnsi="宋体" w:cs="宋体"/>
              </w:rPr>
              <w:t>4</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6.1 i</w:t>
            </w:r>
            <w:r>
              <w:rPr>
                <w:rFonts w:ascii="宋体" w:hAnsi="宋体" w:cs="宋体" w:hint="eastAsia"/>
              </w:rPr>
              <w:t>）《危险化学品安全管理条例》（国务院令第</w:t>
            </w:r>
            <w:r>
              <w:rPr>
                <w:rFonts w:ascii="宋体" w:hAnsi="宋体" w:cs="宋体"/>
              </w:rPr>
              <w:t>591</w:t>
            </w:r>
            <w:r>
              <w:rPr>
                <w:rFonts w:ascii="宋体" w:hAnsi="宋体" w:cs="宋体" w:hint="eastAsia"/>
              </w:rPr>
              <w:t>号），《剧毒化学品购买和公路运输许可证件管理办法》（公安部令第</w:t>
            </w:r>
            <w:r>
              <w:rPr>
                <w:rFonts w:ascii="宋体" w:hAnsi="宋体" w:cs="宋体"/>
              </w:rPr>
              <w:t>77</w:t>
            </w:r>
            <w:r>
              <w:rPr>
                <w:rFonts w:ascii="宋体" w:hAnsi="宋体" w:cs="宋体" w:hint="eastAsia"/>
              </w:rPr>
              <w:t>号）；</w:t>
            </w:r>
          </w:p>
          <w:p w:rsidR="005B16D1" w:rsidRDefault="005B16D1">
            <w:pPr>
              <w:spacing w:line="360" w:lineRule="auto"/>
              <w:jc w:val="left"/>
              <w:rPr>
                <w:rFonts w:ascii="宋体" w:cs="Times New Roman"/>
              </w:rPr>
            </w:pPr>
            <w:r>
              <w:rPr>
                <w:rFonts w:ascii="宋体" w:hAnsi="宋体" w:cs="宋体"/>
              </w:rPr>
              <w:t>6.2.1</w:t>
            </w:r>
            <w:r>
              <w:rPr>
                <w:rFonts w:ascii="宋体" w:hAnsi="宋体" w:cs="宋体" w:hint="eastAsia"/>
              </w:rPr>
              <w:t>《危险化学品安全管理条例》（国务院令第</w:t>
            </w:r>
            <w:r>
              <w:rPr>
                <w:rFonts w:ascii="宋体" w:hAnsi="宋体" w:cs="宋体"/>
              </w:rPr>
              <w:t>591</w:t>
            </w:r>
            <w:r>
              <w:rPr>
                <w:rFonts w:ascii="宋体" w:hAnsi="宋体" w:cs="宋体" w:hint="eastAsia"/>
              </w:rPr>
              <w:t>号）第一章第四条；</w:t>
            </w:r>
          </w:p>
          <w:p w:rsidR="005B16D1" w:rsidRDefault="005B16D1">
            <w:pPr>
              <w:spacing w:line="360" w:lineRule="auto"/>
              <w:jc w:val="left"/>
              <w:rPr>
                <w:rFonts w:ascii="宋体" w:cs="Times New Roman"/>
              </w:rPr>
            </w:pPr>
            <w:r>
              <w:rPr>
                <w:rFonts w:ascii="宋体" w:hAnsi="宋体" w:cs="宋体"/>
              </w:rPr>
              <w:t>6.2.2</w:t>
            </w:r>
            <w:r>
              <w:rPr>
                <w:rFonts w:ascii="宋体" w:hAnsi="宋体" w:cs="宋体" w:hint="eastAsia"/>
              </w:rPr>
              <w:t>《安全生产法》（中华人民共和国主席令第</w:t>
            </w:r>
            <w:r>
              <w:rPr>
                <w:rFonts w:ascii="宋体" w:hAnsi="宋体" w:cs="宋体"/>
              </w:rPr>
              <w:t>13</w:t>
            </w:r>
            <w:r>
              <w:rPr>
                <w:rFonts w:ascii="宋体" w:hAnsi="宋体" w:cs="宋体" w:hint="eastAsia"/>
              </w:rPr>
              <w:t>号）第二章第二十五条；</w:t>
            </w:r>
          </w:p>
          <w:p w:rsidR="005B16D1" w:rsidRDefault="005B16D1">
            <w:pPr>
              <w:spacing w:line="360" w:lineRule="auto"/>
              <w:jc w:val="left"/>
              <w:rPr>
                <w:rFonts w:ascii="宋体" w:cs="Times New Roman"/>
              </w:rPr>
            </w:pPr>
            <w:r>
              <w:rPr>
                <w:rFonts w:ascii="宋体" w:hAnsi="宋体" w:cs="宋体"/>
              </w:rPr>
              <w:t>6.3.1</w:t>
            </w:r>
            <w:r>
              <w:rPr>
                <w:rFonts w:ascii="宋体" w:hAnsi="宋体" w:cs="宋体" w:hint="eastAsia"/>
              </w:rPr>
              <w:t>《生产经营单位生产安全事故应急预案编制导则》（生产经营单位生产安全事故应急预案编制导则）第</w:t>
            </w:r>
            <w:r>
              <w:rPr>
                <w:rFonts w:ascii="宋体" w:hAnsi="宋体" w:cs="宋体"/>
              </w:rPr>
              <w:t>6.5.3</w:t>
            </w:r>
            <w:r>
              <w:rPr>
                <w:rFonts w:ascii="宋体" w:hAnsi="宋体" w:cs="宋体" w:hint="eastAsia"/>
              </w:rPr>
              <w:t>节；</w:t>
            </w:r>
          </w:p>
          <w:p w:rsidR="005B16D1" w:rsidRDefault="005B16D1">
            <w:pPr>
              <w:spacing w:line="360" w:lineRule="auto"/>
              <w:jc w:val="left"/>
              <w:rPr>
                <w:rFonts w:ascii="宋体" w:cs="Times New Roman"/>
              </w:rPr>
            </w:pPr>
            <w:r>
              <w:rPr>
                <w:rFonts w:ascii="宋体" w:hAnsi="宋体" w:cs="宋体"/>
              </w:rPr>
              <w:t xml:space="preserve">6.3.2 </w:t>
            </w:r>
            <w:r>
              <w:rPr>
                <w:rFonts w:ascii="宋体" w:hAnsi="宋体" w:cs="宋体" w:hint="eastAsia"/>
              </w:rPr>
              <w:t>《广东省安全生产条例（</w:t>
            </w:r>
            <w:r>
              <w:rPr>
                <w:rFonts w:ascii="宋体" w:hAnsi="宋体" w:cs="宋体"/>
              </w:rPr>
              <w:t>2017</w:t>
            </w:r>
            <w:r>
              <w:rPr>
                <w:rFonts w:ascii="宋体" w:hAnsi="宋体" w:cs="宋体" w:hint="eastAsia"/>
              </w:rPr>
              <w:t>年修正本）》第十二条（四）。</w:t>
            </w:r>
          </w:p>
          <w:p w:rsidR="005B16D1" w:rsidRDefault="005B16D1">
            <w:pPr>
              <w:spacing w:line="360" w:lineRule="auto"/>
              <w:jc w:val="left"/>
              <w:rPr>
                <w:rFonts w:ascii="宋体" w:cs="Times New Roman"/>
              </w:rPr>
            </w:pPr>
            <w:r>
              <w:rPr>
                <w:rFonts w:ascii="宋体" w:hAnsi="宋体" w:cs="宋体"/>
              </w:rPr>
              <w:t>6.4.1</w:t>
            </w:r>
            <w:r>
              <w:rPr>
                <w:rFonts w:ascii="宋体" w:hAnsi="宋体" w:cs="宋体" w:hint="eastAsia"/>
              </w:rPr>
              <w:t>《常用化学危险品贮存通则》（</w:t>
            </w:r>
            <w:r>
              <w:rPr>
                <w:rFonts w:ascii="宋体" w:hAnsi="宋体" w:cs="宋体"/>
              </w:rPr>
              <w:t>GB 15603-1995</w:t>
            </w:r>
            <w:r>
              <w:rPr>
                <w:rFonts w:ascii="宋体" w:hAnsi="宋体" w:cs="宋体" w:hint="eastAsia"/>
              </w:rPr>
              <w:t>）第</w:t>
            </w:r>
            <w:r>
              <w:rPr>
                <w:rFonts w:ascii="宋体" w:hAnsi="宋体" w:cs="宋体"/>
              </w:rPr>
              <w:t>4.4</w:t>
            </w:r>
            <w:r>
              <w:rPr>
                <w:rFonts w:ascii="宋体" w:hAnsi="宋体" w:cs="宋体" w:hint="eastAsia"/>
              </w:rPr>
              <w:t>节，《安全生产法》（中华人民共和国主席令第</w:t>
            </w:r>
            <w:r>
              <w:rPr>
                <w:rFonts w:ascii="宋体" w:hAnsi="宋体" w:cs="宋体"/>
              </w:rPr>
              <w:t>13</w:t>
            </w:r>
            <w:r>
              <w:rPr>
                <w:rFonts w:ascii="宋体" w:hAnsi="宋体" w:cs="宋体" w:hint="eastAsia"/>
              </w:rPr>
              <w:t>号）第二章第二十五条；</w:t>
            </w:r>
          </w:p>
          <w:p w:rsidR="005B16D1" w:rsidRDefault="005B16D1">
            <w:pPr>
              <w:spacing w:line="360" w:lineRule="auto"/>
              <w:jc w:val="left"/>
              <w:rPr>
                <w:rFonts w:ascii="宋体" w:cs="Times New Roman"/>
              </w:rPr>
            </w:pPr>
            <w:r>
              <w:rPr>
                <w:rFonts w:ascii="宋体" w:hAnsi="宋体" w:cs="宋体"/>
              </w:rPr>
              <w:t>6.4.2</w:t>
            </w:r>
            <w:r>
              <w:rPr>
                <w:rFonts w:ascii="宋体" w:hAnsi="宋体" w:cs="宋体" w:hint="eastAsia"/>
              </w:rPr>
              <w:t>《危险化学品安全管理条例》（国务院令第</w:t>
            </w:r>
            <w:r>
              <w:rPr>
                <w:rFonts w:ascii="宋体" w:hAnsi="宋体" w:cs="宋体"/>
              </w:rPr>
              <w:t>591</w:t>
            </w:r>
            <w:r>
              <w:rPr>
                <w:rFonts w:ascii="宋体" w:hAnsi="宋体" w:cs="宋体" w:hint="eastAsia"/>
              </w:rPr>
              <w:t>号）第一章第四条，《安全生产法》（中华人民共和国主席令第</w:t>
            </w:r>
            <w:r>
              <w:rPr>
                <w:rFonts w:ascii="宋体" w:hAnsi="宋体" w:cs="宋体"/>
              </w:rPr>
              <w:t>13</w:t>
            </w:r>
            <w:r>
              <w:rPr>
                <w:rFonts w:ascii="宋体" w:hAnsi="宋体" w:cs="宋体" w:hint="eastAsia"/>
              </w:rPr>
              <w:t>号）第二章第二十五条；</w:t>
            </w:r>
          </w:p>
          <w:p w:rsidR="005B16D1" w:rsidRDefault="005B16D1">
            <w:pPr>
              <w:spacing w:line="360" w:lineRule="auto"/>
              <w:jc w:val="left"/>
              <w:rPr>
                <w:rFonts w:ascii="宋体" w:cs="Times New Roman"/>
              </w:rPr>
            </w:pPr>
            <w:r>
              <w:rPr>
                <w:rFonts w:ascii="宋体" w:hAnsi="宋体" w:cs="宋体"/>
              </w:rPr>
              <w:t>6.4.3</w:t>
            </w:r>
            <w:r>
              <w:rPr>
                <w:rFonts w:ascii="宋体" w:hAnsi="宋体" w:cs="宋体" w:hint="eastAsia"/>
              </w:rPr>
              <w:t>《个体防护装备配备基本要求》（</w:t>
            </w:r>
            <w:r>
              <w:rPr>
                <w:rFonts w:ascii="宋体" w:hAnsi="宋体" w:cs="宋体"/>
              </w:rPr>
              <w:t>GB/T 29510-2013</w:t>
            </w:r>
            <w:r>
              <w:rPr>
                <w:rFonts w:ascii="宋体" w:hAnsi="宋体" w:cs="宋体" w:hint="eastAsia"/>
              </w:rPr>
              <w:t>）第</w:t>
            </w:r>
            <w:r>
              <w:rPr>
                <w:rFonts w:ascii="宋体" w:hAnsi="宋体" w:cs="宋体"/>
              </w:rPr>
              <w:t>8</w:t>
            </w:r>
            <w:r>
              <w:rPr>
                <w:rFonts w:ascii="宋体" w:hAnsi="宋体" w:cs="宋体" w:hint="eastAsia"/>
              </w:rPr>
              <w:t>节；</w:t>
            </w:r>
          </w:p>
          <w:p w:rsidR="005B16D1" w:rsidRDefault="005B16D1">
            <w:pPr>
              <w:spacing w:line="360" w:lineRule="auto"/>
              <w:jc w:val="left"/>
              <w:rPr>
                <w:rFonts w:ascii="Arial" w:hAnsi="Arial" w:cs="Arial"/>
                <w:color w:val="FF0000"/>
              </w:rPr>
            </w:pPr>
            <w:r>
              <w:rPr>
                <w:rFonts w:ascii="宋体" w:hAnsi="宋体" w:cs="宋体"/>
              </w:rPr>
              <w:t>6.5</w:t>
            </w:r>
            <w:r>
              <w:rPr>
                <w:rFonts w:ascii="宋体" w:hAnsi="宋体" w:cs="宋体" w:hint="eastAsia"/>
              </w:rPr>
              <w:t>创新。</w:t>
            </w:r>
          </w:p>
        </w:tc>
        <w:tc>
          <w:tcPr>
            <w:tcW w:w="1162" w:type="dxa"/>
          </w:tcPr>
          <w:p w:rsidR="005B16D1" w:rsidRDefault="005B16D1">
            <w:pPr>
              <w:spacing w:line="360" w:lineRule="auto"/>
              <w:jc w:val="center"/>
              <w:rPr>
                <w:rFonts w:ascii="宋体" w:cs="Times New Roman"/>
                <w:color w:val="FF0000"/>
              </w:rPr>
            </w:pPr>
          </w:p>
        </w:tc>
      </w:tr>
    </w:tbl>
    <w:p w:rsidR="005B16D1" w:rsidRDefault="005B16D1">
      <w:pPr>
        <w:spacing w:line="360" w:lineRule="auto"/>
        <w:ind w:left="360"/>
        <w:jc w:val="left"/>
        <w:rPr>
          <w:rFonts w:cs="Times New Roman"/>
          <w:color w:val="FF0000"/>
          <w:sz w:val="24"/>
          <w:szCs w:val="24"/>
        </w:rPr>
      </w:pPr>
    </w:p>
    <w:sectPr w:rsidR="005B16D1" w:rsidSect="009C626E">
      <w:pgSz w:w="16834" w:h="11907" w:orient="landscape"/>
      <w:pgMar w:top="1800" w:right="1440" w:bottom="1800" w:left="144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6D1" w:rsidRDefault="005B16D1" w:rsidP="009C626E">
      <w:pPr>
        <w:rPr>
          <w:rFonts w:cs="Times New Roman"/>
        </w:rPr>
      </w:pPr>
      <w:r>
        <w:rPr>
          <w:rFonts w:cs="Times New Roman"/>
        </w:rPr>
        <w:separator/>
      </w:r>
    </w:p>
  </w:endnote>
  <w:endnote w:type="continuationSeparator" w:id="1">
    <w:p w:rsidR="005B16D1" w:rsidRDefault="005B16D1" w:rsidP="009C62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D1" w:rsidRDefault="005B16D1">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16D1" w:rsidRDefault="005B16D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6D1" w:rsidRDefault="005B16D1" w:rsidP="009C626E">
      <w:pPr>
        <w:rPr>
          <w:rFonts w:cs="Times New Roman"/>
        </w:rPr>
      </w:pPr>
      <w:r>
        <w:rPr>
          <w:rFonts w:cs="Times New Roman"/>
        </w:rPr>
        <w:separator/>
      </w:r>
    </w:p>
  </w:footnote>
  <w:footnote w:type="continuationSeparator" w:id="1">
    <w:p w:rsidR="005B16D1" w:rsidRDefault="005B16D1" w:rsidP="009C626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
      <w:suff w:val="nothing"/>
      <w:lvlText w:val="%1.%2.%3　"/>
      <w:lvlJc w:val="left"/>
      <w:pPr>
        <w:ind w:left="426"/>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start w:val="1"/>
      <w:numFmt w:val="none"/>
      <w:pStyle w:val="a0"/>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cs="Symbol" w:hint="default"/>
        <w:color w:val="auto"/>
      </w:rPr>
    </w:lvl>
    <w:lvl w:ilvl="2">
      <w:start w:val="1"/>
      <w:numFmt w:val="bullet"/>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nsid w:val="42377078"/>
    <w:multiLevelType w:val="multilevel"/>
    <w:tmpl w:val="4237707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4C50F90"/>
    <w:multiLevelType w:val="multilevel"/>
    <w:tmpl w:val="44C50F90"/>
    <w:lvl w:ilvl="0">
      <w:start w:val="1"/>
      <w:numFmt w:val="lowerLetter"/>
      <w:pStyle w:val="a1"/>
      <w:lvlText w:val="%1)"/>
      <w:lvlJc w:val="left"/>
      <w:pPr>
        <w:tabs>
          <w:tab w:val="left" w:pos="840"/>
        </w:tabs>
        <w:ind w:left="839" w:hanging="419"/>
      </w:pPr>
      <w:rPr>
        <w:rFonts w:ascii="宋体" w:eastAsia="宋体" w:hint="eastAsia"/>
        <w:b w:val="0"/>
        <w:bCs w:val="0"/>
        <w:i w:val="0"/>
        <w:iCs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4CB15A6E"/>
    <w:multiLevelType w:val="multilevel"/>
    <w:tmpl w:val="4CB15A6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CEA2025"/>
    <w:multiLevelType w:val="multilevel"/>
    <w:tmpl w:val="6CEA2025"/>
    <w:lvl w:ilvl="0">
      <w:start w:val="1"/>
      <w:numFmt w:val="none"/>
      <w:pStyle w:val="a2"/>
      <w:suff w:val="nothing"/>
      <w:lvlText w:val="%1"/>
      <w:lvlJc w:val="left"/>
      <w:rPr>
        <w:rFonts w:ascii="Times New Roman" w:hAnsi="Times New Roman" w:cs="Times New Roman" w:hint="default"/>
        <w:b/>
        <w:bCs/>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sz w:val="21"/>
        <w:szCs w:val="21"/>
      </w:rPr>
    </w:lvl>
    <w:lvl w:ilvl="2">
      <w:start w:val="1"/>
      <w:numFmt w:val="decimal"/>
      <w:pStyle w:val="a4"/>
      <w:suff w:val="nothing"/>
      <w:lvlText w:val="%1%2.%3　"/>
      <w:lvlJc w:val="left"/>
      <w:rPr>
        <w:rFonts w:ascii="黑体" w:eastAsia="黑体" w:hAnsi="Times New Roman" w:hint="eastAsia"/>
        <w:b w:val="0"/>
        <w:bCs w:val="0"/>
        <w:i w:val="0"/>
        <w:iCs w:val="0"/>
        <w:sz w:val="21"/>
        <w:szCs w:val="21"/>
      </w:rPr>
    </w:lvl>
    <w:lvl w:ilvl="3">
      <w:start w:val="1"/>
      <w:numFmt w:val="decimal"/>
      <w:pStyle w:val="a5"/>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pStyle w:val="a8"/>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E947D4B"/>
    <w:multiLevelType w:val="multilevel"/>
    <w:tmpl w:val="6E947D4B"/>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72655FC1"/>
    <w:multiLevelType w:val="multilevel"/>
    <w:tmpl w:val="72655FC1"/>
    <w:lvl w:ilvl="0">
      <w:start w:val="6"/>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84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F62"/>
    <w:rsid w:val="00000CCE"/>
    <w:rsid w:val="000146D8"/>
    <w:rsid w:val="000149D6"/>
    <w:rsid w:val="0001764E"/>
    <w:rsid w:val="00022715"/>
    <w:rsid w:val="00025934"/>
    <w:rsid w:val="00025A19"/>
    <w:rsid w:val="00031637"/>
    <w:rsid w:val="00037E3C"/>
    <w:rsid w:val="000409FB"/>
    <w:rsid w:val="00041259"/>
    <w:rsid w:val="000427BD"/>
    <w:rsid w:val="00046361"/>
    <w:rsid w:val="0005035C"/>
    <w:rsid w:val="00053BFA"/>
    <w:rsid w:val="0005511D"/>
    <w:rsid w:val="00055953"/>
    <w:rsid w:val="0005687C"/>
    <w:rsid w:val="000612A4"/>
    <w:rsid w:val="000717D5"/>
    <w:rsid w:val="00073608"/>
    <w:rsid w:val="0008092E"/>
    <w:rsid w:val="00093D51"/>
    <w:rsid w:val="00095F06"/>
    <w:rsid w:val="000A0570"/>
    <w:rsid w:val="000A52CF"/>
    <w:rsid w:val="000B2677"/>
    <w:rsid w:val="000B353C"/>
    <w:rsid w:val="000B606D"/>
    <w:rsid w:val="000C105A"/>
    <w:rsid w:val="000C3B2B"/>
    <w:rsid w:val="000C5B8A"/>
    <w:rsid w:val="000D181A"/>
    <w:rsid w:val="000D3A94"/>
    <w:rsid w:val="000F38A3"/>
    <w:rsid w:val="000F54FB"/>
    <w:rsid w:val="00102E7A"/>
    <w:rsid w:val="0011754E"/>
    <w:rsid w:val="00117910"/>
    <w:rsid w:val="00121212"/>
    <w:rsid w:val="0012252C"/>
    <w:rsid w:val="0012428B"/>
    <w:rsid w:val="001369B4"/>
    <w:rsid w:val="00142A13"/>
    <w:rsid w:val="00150942"/>
    <w:rsid w:val="001560A4"/>
    <w:rsid w:val="00160214"/>
    <w:rsid w:val="00163086"/>
    <w:rsid w:val="00164F9A"/>
    <w:rsid w:val="00187E20"/>
    <w:rsid w:val="00191EAB"/>
    <w:rsid w:val="00194181"/>
    <w:rsid w:val="001B76A1"/>
    <w:rsid w:val="001C1E89"/>
    <w:rsid w:val="001C2B8E"/>
    <w:rsid w:val="001D479B"/>
    <w:rsid w:val="001D7D33"/>
    <w:rsid w:val="001E2F34"/>
    <w:rsid w:val="001E4124"/>
    <w:rsid w:val="001E5640"/>
    <w:rsid w:val="001F2876"/>
    <w:rsid w:val="00204B01"/>
    <w:rsid w:val="00213CF7"/>
    <w:rsid w:val="0022214F"/>
    <w:rsid w:val="0022437E"/>
    <w:rsid w:val="00230998"/>
    <w:rsid w:val="00243CD2"/>
    <w:rsid w:val="0024455A"/>
    <w:rsid w:val="00257DBF"/>
    <w:rsid w:val="002605CA"/>
    <w:rsid w:val="0026713E"/>
    <w:rsid w:val="0027086A"/>
    <w:rsid w:val="002718FB"/>
    <w:rsid w:val="002763A5"/>
    <w:rsid w:val="0029019C"/>
    <w:rsid w:val="00293217"/>
    <w:rsid w:val="002A47D3"/>
    <w:rsid w:val="002B5888"/>
    <w:rsid w:val="002C2937"/>
    <w:rsid w:val="002C3B12"/>
    <w:rsid w:val="002C5C29"/>
    <w:rsid w:val="002D0550"/>
    <w:rsid w:val="002E2F5C"/>
    <w:rsid w:val="002E5644"/>
    <w:rsid w:val="002F1E7A"/>
    <w:rsid w:val="00301A4E"/>
    <w:rsid w:val="00306CE8"/>
    <w:rsid w:val="0031010E"/>
    <w:rsid w:val="003179CD"/>
    <w:rsid w:val="00317EF4"/>
    <w:rsid w:val="00323D7F"/>
    <w:rsid w:val="0032716F"/>
    <w:rsid w:val="00327C05"/>
    <w:rsid w:val="00330F60"/>
    <w:rsid w:val="00340A23"/>
    <w:rsid w:val="00340DF9"/>
    <w:rsid w:val="003444AA"/>
    <w:rsid w:val="00346A18"/>
    <w:rsid w:val="0035048F"/>
    <w:rsid w:val="00362FA3"/>
    <w:rsid w:val="003641DF"/>
    <w:rsid w:val="003709DC"/>
    <w:rsid w:val="00383249"/>
    <w:rsid w:val="003A499D"/>
    <w:rsid w:val="003A74BC"/>
    <w:rsid w:val="003A7F04"/>
    <w:rsid w:val="003B22E1"/>
    <w:rsid w:val="003C42DA"/>
    <w:rsid w:val="003C496F"/>
    <w:rsid w:val="003D3282"/>
    <w:rsid w:val="003D6FF9"/>
    <w:rsid w:val="003E1029"/>
    <w:rsid w:val="003E33CF"/>
    <w:rsid w:val="003E52D6"/>
    <w:rsid w:val="003F2F49"/>
    <w:rsid w:val="003F311A"/>
    <w:rsid w:val="003F3FBF"/>
    <w:rsid w:val="00401A2C"/>
    <w:rsid w:val="00402180"/>
    <w:rsid w:val="004104CD"/>
    <w:rsid w:val="00411545"/>
    <w:rsid w:val="004125D7"/>
    <w:rsid w:val="00422373"/>
    <w:rsid w:val="00422DD4"/>
    <w:rsid w:val="004233E4"/>
    <w:rsid w:val="00427971"/>
    <w:rsid w:val="00427BA5"/>
    <w:rsid w:val="00432818"/>
    <w:rsid w:val="00443926"/>
    <w:rsid w:val="004478D0"/>
    <w:rsid w:val="004507A8"/>
    <w:rsid w:val="00450B4C"/>
    <w:rsid w:val="004520E4"/>
    <w:rsid w:val="00465E9B"/>
    <w:rsid w:val="00472036"/>
    <w:rsid w:val="00472DD9"/>
    <w:rsid w:val="00475082"/>
    <w:rsid w:val="0047689A"/>
    <w:rsid w:val="004843DD"/>
    <w:rsid w:val="00497726"/>
    <w:rsid w:val="004A18FC"/>
    <w:rsid w:val="004A4409"/>
    <w:rsid w:val="004A4B2E"/>
    <w:rsid w:val="004A4C5C"/>
    <w:rsid w:val="004B3117"/>
    <w:rsid w:val="004B45CC"/>
    <w:rsid w:val="004B514A"/>
    <w:rsid w:val="004B61F8"/>
    <w:rsid w:val="004B681D"/>
    <w:rsid w:val="004B75F1"/>
    <w:rsid w:val="004C5DE0"/>
    <w:rsid w:val="004C65FE"/>
    <w:rsid w:val="004C7282"/>
    <w:rsid w:val="004D1190"/>
    <w:rsid w:val="004D1192"/>
    <w:rsid w:val="004D3ADF"/>
    <w:rsid w:val="004D6E6A"/>
    <w:rsid w:val="004F3DAE"/>
    <w:rsid w:val="00516613"/>
    <w:rsid w:val="00523061"/>
    <w:rsid w:val="00526BFD"/>
    <w:rsid w:val="005628AE"/>
    <w:rsid w:val="00564C37"/>
    <w:rsid w:val="0057174A"/>
    <w:rsid w:val="005720AE"/>
    <w:rsid w:val="00573046"/>
    <w:rsid w:val="00576530"/>
    <w:rsid w:val="005877B3"/>
    <w:rsid w:val="005900A7"/>
    <w:rsid w:val="00590890"/>
    <w:rsid w:val="005B0F1A"/>
    <w:rsid w:val="005B116E"/>
    <w:rsid w:val="005B16D1"/>
    <w:rsid w:val="005B5F39"/>
    <w:rsid w:val="005C797D"/>
    <w:rsid w:val="005D7C12"/>
    <w:rsid w:val="005E077E"/>
    <w:rsid w:val="005E0DDA"/>
    <w:rsid w:val="005E22F7"/>
    <w:rsid w:val="005E53F6"/>
    <w:rsid w:val="00603270"/>
    <w:rsid w:val="00613A38"/>
    <w:rsid w:val="00634E16"/>
    <w:rsid w:val="00657CBD"/>
    <w:rsid w:val="006645E2"/>
    <w:rsid w:val="006652BC"/>
    <w:rsid w:val="00665F08"/>
    <w:rsid w:val="00677678"/>
    <w:rsid w:val="00686315"/>
    <w:rsid w:val="00691A70"/>
    <w:rsid w:val="006A58AD"/>
    <w:rsid w:val="006A5B49"/>
    <w:rsid w:val="006A7DB9"/>
    <w:rsid w:val="006B04B3"/>
    <w:rsid w:val="006C272E"/>
    <w:rsid w:val="006C3D22"/>
    <w:rsid w:val="006C5AEE"/>
    <w:rsid w:val="006C65F3"/>
    <w:rsid w:val="006D33DA"/>
    <w:rsid w:val="006D7619"/>
    <w:rsid w:val="006E12D7"/>
    <w:rsid w:val="006E1315"/>
    <w:rsid w:val="006F02E6"/>
    <w:rsid w:val="006F1869"/>
    <w:rsid w:val="0070005C"/>
    <w:rsid w:val="00706100"/>
    <w:rsid w:val="007063A5"/>
    <w:rsid w:val="00714B1D"/>
    <w:rsid w:val="00717CF4"/>
    <w:rsid w:val="00721993"/>
    <w:rsid w:val="0073272D"/>
    <w:rsid w:val="00741BC6"/>
    <w:rsid w:val="007452FF"/>
    <w:rsid w:val="00761227"/>
    <w:rsid w:val="00762675"/>
    <w:rsid w:val="00763EC0"/>
    <w:rsid w:val="00770C35"/>
    <w:rsid w:val="00790612"/>
    <w:rsid w:val="007A6598"/>
    <w:rsid w:val="007D4370"/>
    <w:rsid w:val="007D7567"/>
    <w:rsid w:val="00805509"/>
    <w:rsid w:val="00806F8B"/>
    <w:rsid w:val="00812879"/>
    <w:rsid w:val="00832B6D"/>
    <w:rsid w:val="00843F25"/>
    <w:rsid w:val="008508F4"/>
    <w:rsid w:val="008564E7"/>
    <w:rsid w:val="0086739C"/>
    <w:rsid w:val="008732E4"/>
    <w:rsid w:val="0087642B"/>
    <w:rsid w:val="00887626"/>
    <w:rsid w:val="008902E7"/>
    <w:rsid w:val="0089371E"/>
    <w:rsid w:val="00897B82"/>
    <w:rsid w:val="008A05BB"/>
    <w:rsid w:val="008B70B0"/>
    <w:rsid w:val="008D166B"/>
    <w:rsid w:val="008D1672"/>
    <w:rsid w:val="008D40A3"/>
    <w:rsid w:val="008E1F62"/>
    <w:rsid w:val="008E5932"/>
    <w:rsid w:val="008E76D8"/>
    <w:rsid w:val="008E7B78"/>
    <w:rsid w:val="008F039D"/>
    <w:rsid w:val="008F1B4E"/>
    <w:rsid w:val="009010F7"/>
    <w:rsid w:val="009061BF"/>
    <w:rsid w:val="009132E2"/>
    <w:rsid w:val="00920216"/>
    <w:rsid w:val="009227F2"/>
    <w:rsid w:val="0092377A"/>
    <w:rsid w:val="0092497E"/>
    <w:rsid w:val="009256BF"/>
    <w:rsid w:val="00926570"/>
    <w:rsid w:val="0093470A"/>
    <w:rsid w:val="00937A5A"/>
    <w:rsid w:val="00937BD7"/>
    <w:rsid w:val="00940242"/>
    <w:rsid w:val="00943B50"/>
    <w:rsid w:val="00957C3B"/>
    <w:rsid w:val="009612C8"/>
    <w:rsid w:val="009640DF"/>
    <w:rsid w:val="00967CBD"/>
    <w:rsid w:val="00970F00"/>
    <w:rsid w:val="00974BEC"/>
    <w:rsid w:val="00974BF8"/>
    <w:rsid w:val="009837CF"/>
    <w:rsid w:val="00986A89"/>
    <w:rsid w:val="00993D62"/>
    <w:rsid w:val="009973C5"/>
    <w:rsid w:val="009A1F1E"/>
    <w:rsid w:val="009A4854"/>
    <w:rsid w:val="009A68D7"/>
    <w:rsid w:val="009B0742"/>
    <w:rsid w:val="009B3E71"/>
    <w:rsid w:val="009C626E"/>
    <w:rsid w:val="009C7305"/>
    <w:rsid w:val="009E199F"/>
    <w:rsid w:val="009E3BE5"/>
    <w:rsid w:val="009E4545"/>
    <w:rsid w:val="009E647D"/>
    <w:rsid w:val="00A0125F"/>
    <w:rsid w:val="00A02FC2"/>
    <w:rsid w:val="00A044B6"/>
    <w:rsid w:val="00A05A05"/>
    <w:rsid w:val="00A11253"/>
    <w:rsid w:val="00A160E9"/>
    <w:rsid w:val="00A321C8"/>
    <w:rsid w:val="00A367FD"/>
    <w:rsid w:val="00A40735"/>
    <w:rsid w:val="00A41530"/>
    <w:rsid w:val="00A422F8"/>
    <w:rsid w:val="00A450B0"/>
    <w:rsid w:val="00A473B1"/>
    <w:rsid w:val="00A6045E"/>
    <w:rsid w:val="00A61E7A"/>
    <w:rsid w:val="00A66AD4"/>
    <w:rsid w:val="00A673F3"/>
    <w:rsid w:val="00A72C9D"/>
    <w:rsid w:val="00A85F23"/>
    <w:rsid w:val="00A90110"/>
    <w:rsid w:val="00A911DD"/>
    <w:rsid w:val="00A9747D"/>
    <w:rsid w:val="00AB07A7"/>
    <w:rsid w:val="00AB0D7F"/>
    <w:rsid w:val="00AB1A4A"/>
    <w:rsid w:val="00AB21CC"/>
    <w:rsid w:val="00AB3E31"/>
    <w:rsid w:val="00AD1496"/>
    <w:rsid w:val="00AD3961"/>
    <w:rsid w:val="00AD4F39"/>
    <w:rsid w:val="00AE224F"/>
    <w:rsid w:val="00AF351B"/>
    <w:rsid w:val="00B0175C"/>
    <w:rsid w:val="00B061BE"/>
    <w:rsid w:val="00B11A8F"/>
    <w:rsid w:val="00B21D0A"/>
    <w:rsid w:val="00B25F14"/>
    <w:rsid w:val="00B31F88"/>
    <w:rsid w:val="00B35FC6"/>
    <w:rsid w:val="00B43916"/>
    <w:rsid w:val="00B47988"/>
    <w:rsid w:val="00B6007A"/>
    <w:rsid w:val="00B65F14"/>
    <w:rsid w:val="00BA1C77"/>
    <w:rsid w:val="00BB2316"/>
    <w:rsid w:val="00BB38AA"/>
    <w:rsid w:val="00BC1510"/>
    <w:rsid w:val="00BD130E"/>
    <w:rsid w:val="00BD46C8"/>
    <w:rsid w:val="00BE19E9"/>
    <w:rsid w:val="00BE437D"/>
    <w:rsid w:val="00BE72F2"/>
    <w:rsid w:val="00BF324D"/>
    <w:rsid w:val="00C00113"/>
    <w:rsid w:val="00C01DDD"/>
    <w:rsid w:val="00C05F22"/>
    <w:rsid w:val="00C22632"/>
    <w:rsid w:val="00C22E72"/>
    <w:rsid w:val="00C35364"/>
    <w:rsid w:val="00C3791F"/>
    <w:rsid w:val="00C53189"/>
    <w:rsid w:val="00C62DA7"/>
    <w:rsid w:val="00C62DBD"/>
    <w:rsid w:val="00C703D8"/>
    <w:rsid w:val="00C80D9B"/>
    <w:rsid w:val="00C85D3A"/>
    <w:rsid w:val="00C902C7"/>
    <w:rsid w:val="00C92C68"/>
    <w:rsid w:val="00C9535C"/>
    <w:rsid w:val="00CA0AF1"/>
    <w:rsid w:val="00CA10AC"/>
    <w:rsid w:val="00CB03D2"/>
    <w:rsid w:val="00CB7DF9"/>
    <w:rsid w:val="00CC1635"/>
    <w:rsid w:val="00CC3420"/>
    <w:rsid w:val="00CD242A"/>
    <w:rsid w:val="00CF1804"/>
    <w:rsid w:val="00CF3433"/>
    <w:rsid w:val="00CF74D4"/>
    <w:rsid w:val="00D008CF"/>
    <w:rsid w:val="00D0160D"/>
    <w:rsid w:val="00D02AB3"/>
    <w:rsid w:val="00D14C6C"/>
    <w:rsid w:val="00D168DE"/>
    <w:rsid w:val="00D17F09"/>
    <w:rsid w:val="00D34E43"/>
    <w:rsid w:val="00D46BB9"/>
    <w:rsid w:val="00D57C4C"/>
    <w:rsid w:val="00D63470"/>
    <w:rsid w:val="00D70482"/>
    <w:rsid w:val="00D7191C"/>
    <w:rsid w:val="00D83610"/>
    <w:rsid w:val="00D83BD8"/>
    <w:rsid w:val="00D84264"/>
    <w:rsid w:val="00D917D6"/>
    <w:rsid w:val="00D94F2D"/>
    <w:rsid w:val="00D95E27"/>
    <w:rsid w:val="00D97CB7"/>
    <w:rsid w:val="00DA717B"/>
    <w:rsid w:val="00DA74AD"/>
    <w:rsid w:val="00DC34F8"/>
    <w:rsid w:val="00DD12A2"/>
    <w:rsid w:val="00DE3476"/>
    <w:rsid w:val="00E2238B"/>
    <w:rsid w:val="00E457C8"/>
    <w:rsid w:val="00E51276"/>
    <w:rsid w:val="00E51422"/>
    <w:rsid w:val="00E52ACB"/>
    <w:rsid w:val="00E60C92"/>
    <w:rsid w:val="00E6637D"/>
    <w:rsid w:val="00E70F3E"/>
    <w:rsid w:val="00E7251E"/>
    <w:rsid w:val="00E73C62"/>
    <w:rsid w:val="00E76B40"/>
    <w:rsid w:val="00E76EAB"/>
    <w:rsid w:val="00E845ED"/>
    <w:rsid w:val="00E85E03"/>
    <w:rsid w:val="00EA075D"/>
    <w:rsid w:val="00EB51C8"/>
    <w:rsid w:val="00EC4588"/>
    <w:rsid w:val="00EC750F"/>
    <w:rsid w:val="00ED39E4"/>
    <w:rsid w:val="00EE3E13"/>
    <w:rsid w:val="00EF3F64"/>
    <w:rsid w:val="00EF60A9"/>
    <w:rsid w:val="00F02C0F"/>
    <w:rsid w:val="00F073DD"/>
    <w:rsid w:val="00F100E2"/>
    <w:rsid w:val="00F10A99"/>
    <w:rsid w:val="00F12110"/>
    <w:rsid w:val="00F23CC6"/>
    <w:rsid w:val="00F311E5"/>
    <w:rsid w:val="00F35160"/>
    <w:rsid w:val="00F4230E"/>
    <w:rsid w:val="00F500F2"/>
    <w:rsid w:val="00F52E63"/>
    <w:rsid w:val="00F61BC7"/>
    <w:rsid w:val="00F74DCF"/>
    <w:rsid w:val="00F87786"/>
    <w:rsid w:val="00F87DBC"/>
    <w:rsid w:val="00F902E3"/>
    <w:rsid w:val="00FA10ED"/>
    <w:rsid w:val="00FA123E"/>
    <w:rsid w:val="00FB27B8"/>
    <w:rsid w:val="00FB3586"/>
    <w:rsid w:val="00FB6ABA"/>
    <w:rsid w:val="00FB7194"/>
    <w:rsid w:val="00FB7EE3"/>
    <w:rsid w:val="00FD4915"/>
    <w:rsid w:val="00FE252A"/>
    <w:rsid w:val="00FF1432"/>
    <w:rsid w:val="00FF2A73"/>
    <w:rsid w:val="00FF4DBC"/>
    <w:rsid w:val="01AC76F7"/>
    <w:rsid w:val="066E26F7"/>
    <w:rsid w:val="074F5888"/>
    <w:rsid w:val="0A0102AB"/>
    <w:rsid w:val="0A5E033A"/>
    <w:rsid w:val="0BC3777E"/>
    <w:rsid w:val="0E585D90"/>
    <w:rsid w:val="11F44A06"/>
    <w:rsid w:val="12134618"/>
    <w:rsid w:val="14D86B3D"/>
    <w:rsid w:val="15170860"/>
    <w:rsid w:val="15845BFF"/>
    <w:rsid w:val="15E109EF"/>
    <w:rsid w:val="198951FA"/>
    <w:rsid w:val="1A08708E"/>
    <w:rsid w:val="1B4329C6"/>
    <w:rsid w:val="1C165ED1"/>
    <w:rsid w:val="1C297B1F"/>
    <w:rsid w:val="1DD510B1"/>
    <w:rsid w:val="1F7212BC"/>
    <w:rsid w:val="22F83C56"/>
    <w:rsid w:val="237851F6"/>
    <w:rsid w:val="23C92D74"/>
    <w:rsid w:val="242967DF"/>
    <w:rsid w:val="249F7780"/>
    <w:rsid w:val="26127B15"/>
    <w:rsid w:val="26CB3D72"/>
    <w:rsid w:val="28BE698F"/>
    <w:rsid w:val="2B7D041E"/>
    <w:rsid w:val="2C0F48E1"/>
    <w:rsid w:val="2D556B0B"/>
    <w:rsid w:val="2E530178"/>
    <w:rsid w:val="2FD34EB0"/>
    <w:rsid w:val="30E32626"/>
    <w:rsid w:val="32704FE5"/>
    <w:rsid w:val="32A2752B"/>
    <w:rsid w:val="36CE7211"/>
    <w:rsid w:val="37573123"/>
    <w:rsid w:val="382319AB"/>
    <w:rsid w:val="394A7013"/>
    <w:rsid w:val="39D14F36"/>
    <w:rsid w:val="3A573B60"/>
    <w:rsid w:val="3BC27B51"/>
    <w:rsid w:val="3CA97123"/>
    <w:rsid w:val="3DC474AD"/>
    <w:rsid w:val="40232665"/>
    <w:rsid w:val="42307858"/>
    <w:rsid w:val="432D6C9F"/>
    <w:rsid w:val="444B1DD1"/>
    <w:rsid w:val="447A5D5C"/>
    <w:rsid w:val="46727627"/>
    <w:rsid w:val="46BF5710"/>
    <w:rsid w:val="4ADB204E"/>
    <w:rsid w:val="4B9A5F1D"/>
    <w:rsid w:val="4BEE099C"/>
    <w:rsid w:val="4C581B12"/>
    <w:rsid w:val="4DEC78C3"/>
    <w:rsid w:val="4E63192C"/>
    <w:rsid w:val="4F62484D"/>
    <w:rsid w:val="526B2F8A"/>
    <w:rsid w:val="5301472F"/>
    <w:rsid w:val="54E72BED"/>
    <w:rsid w:val="57FF5C66"/>
    <w:rsid w:val="59712056"/>
    <w:rsid w:val="5B406514"/>
    <w:rsid w:val="5C062E35"/>
    <w:rsid w:val="5C5F16EA"/>
    <w:rsid w:val="5C902F67"/>
    <w:rsid w:val="5D127A95"/>
    <w:rsid w:val="5D321133"/>
    <w:rsid w:val="5D606F82"/>
    <w:rsid w:val="5DEB7B2A"/>
    <w:rsid w:val="5E812C88"/>
    <w:rsid w:val="5FAE01ED"/>
    <w:rsid w:val="642271E5"/>
    <w:rsid w:val="66F96FAF"/>
    <w:rsid w:val="690879D4"/>
    <w:rsid w:val="6B6B1023"/>
    <w:rsid w:val="6BB456DB"/>
    <w:rsid w:val="6BE2071C"/>
    <w:rsid w:val="6D9E1BC7"/>
    <w:rsid w:val="71C3729B"/>
    <w:rsid w:val="72E53956"/>
    <w:rsid w:val="73381B2C"/>
    <w:rsid w:val="73966C47"/>
    <w:rsid w:val="75245324"/>
    <w:rsid w:val="75AD4A39"/>
    <w:rsid w:val="79294DAA"/>
    <w:rsid w:val="7A1465B2"/>
    <w:rsid w:val="7F1D79E1"/>
    <w:rsid w:val="7F9764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HTML Sampl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26E"/>
    <w:pPr>
      <w:widowControl w:val="0"/>
      <w:jc w:val="both"/>
    </w:pPr>
    <w:rPr>
      <w:rFonts w:cs="Calibri"/>
      <w:szCs w:val="21"/>
    </w:rPr>
  </w:style>
  <w:style w:type="paragraph" w:styleId="Heading1">
    <w:name w:val="heading 1"/>
    <w:basedOn w:val="Normal"/>
    <w:next w:val="Normal"/>
    <w:link w:val="Heading1Char"/>
    <w:uiPriority w:val="99"/>
    <w:qFormat/>
    <w:rsid w:val="009C626E"/>
    <w:pPr>
      <w:keepNext/>
      <w:keepLines/>
      <w:jc w:val="center"/>
      <w:outlineLvl w:val="0"/>
    </w:pPr>
    <w:rPr>
      <w:rFonts w:ascii="黑体" w:eastAsia="黑体" w:cs="黑体"/>
      <w:kern w:val="44"/>
    </w:rPr>
  </w:style>
  <w:style w:type="paragraph" w:styleId="Heading3">
    <w:name w:val="heading 3"/>
    <w:basedOn w:val="Normal"/>
    <w:next w:val="Normal"/>
    <w:link w:val="Heading3Char"/>
    <w:uiPriority w:val="99"/>
    <w:qFormat/>
    <w:rsid w:val="009C626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15D"/>
    <w:rPr>
      <w:rFonts w:cs="Calibri"/>
      <w:b/>
      <w:bCs/>
      <w:kern w:val="44"/>
      <w:sz w:val="44"/>
      <w:szCs w:val="44"/>
    </w:rPr>
  </w:style>
  <w:style w:type="character" w:customStyle="1" w:styleId="Heading3Char">
    <w:name w:val="Heading 3 Char"/>
    <w:basedOn w:val="DefaultParagraphFont"/>
    <w:link w:val="Heading3"/>
    <w:uiPriority w:val="9"/>
    <w:semiHidden/>
    <w:rsid w:val="00A1215D"/>
    <w:rPr>
      <w:rFonts w:cs="Calibri"/>
      <w:b/>
      <w:bCs/>
      <w:sz w:val="32"/>
      <w:szCs w:val="32"/>
    </w:rPr>
  </w:style>
  <w:style w:type="paragraph" w:styleId="DocumentMap">
    <w:name w:val="Document Map"/>
    <w:basedOn w:val="Normal"/>
    <w:link w:val="DocumentMapChar"/>
    <w:uiPriority w:val="99"/>
    <w:semiHidden/>
    <w:rsid w:val="009C626E"/>
    <w:pPr>
      <w:shd w:val="clear" w:color="auto" w:fill="000080"/>
    </w:pPr>
  </w:style>
  <w:style w:type="character" w:customStyle="1" w:styleId="DocumentMapChar">
    <w:name w:val="Document Map Char"/>
    <w:basedOn w:val="DefaultParagraphFont"/>
    <w:link w:val="DocumentMap"/>
    <w:uiPriority w:val="99"/>
    <w:semiHidden/>
    <w:rsid w:val="00A1215D"/>
    <w:rPr>
      <w:rFonts w:ascii="Times New Roman" w:hAnsi="Times New Roman"/>
      <w:sz w:val="0"/>
      <w:szCs w:val="0"/>
    </w:rPr>
  </w:style>
  <w:style w:type="paragraph" w:styleId="CommentText">
    <w:name w:val="annotation text"/>
    <w:basedOn w:val="Normal"/>
    <w:link w:val="CommentTextChar"/>
    <w:uiPriority w:val="99"/>
    <w:semiHidden/>
    <w:rsid w:val="009C626E"/>
    <w:pPr>
      <w:jc w:val="left"/>
    </w:pPr>
  </w:style>
  <w:style w:type="character" w:customStyle="1" w:styleId="CommentTextChar">
    <w:name w:val="Comment Text Char"/>
    <w:basedOn w:val="DefaultParagraphFont"/>
    <w:link w:val="CommentText"/>
    <w:uiPriority w:val="99"/>
    <w:semiHidden/>
    <w:rsid w:val="00A1215D"/>
    <w:rPr>
      <w:rFonts w:cs="Calibri"/>
      <w:szCs w:val="21"/>
    </w:rPr>
  </w:style>
  <w:style w:type="paragraph" w:styleId="BodyTextIndent">
    <w:name w:val="Body Text Indent"/>
    <w:basedOn w:val="Normal"/>
    <w:link w:val="BodyTextIndentChar"/>
    <w:uiPriority w:val="99"/>
    <w:rsid w:val="009C626E"/>
    <w:pPr>
      <w:ind w:firstLineChars="200" w:firstLine="420"/>
    </w:pPr>
  </w:style>
  <w:style w:type="character" w:customStyle="1" w:styleId="BodyTextIndentChar">
    <w:name w:val="Body Text Indent Char"/>
    <w:basedOn w:val="DefaultParagraphFont"/>
    <w:link w:val="BodyTextIndent"/>
    <w:uiPriority w:val="99"/>
    <w:semiHidden/>
    <w:rsid w:val="00A1215D"/>
    <w:rPr>
      <w:rFonts w:cs="Calibri"/>
      <w:szCs w:val="21"/>
    </w:rPr>
  </w:style>
  <w:style w:type="paragraph" w:styleId="PlainText">
    <w:name w:val="Plain Text"/>
    <w:basedOn w:val="Normal"/>
    <w:link w:val="PlainTextChar"/>
    <w:uiPriority w:val="99"/>
    <w:rsid w:val="009C626E"/>
    <w:rPr>
      <w:rFonts w:ascii="宋体" w:hAnsi="Courier New" w:cs="宋体"/>
    </w:rPr>
  </w:style>
  <w:style w:type="character" w:customStyle="1" w:styleId="PlainTextChar">
    <w:name w:val="Plain Text Char"/>
    <w:basedOn w:val="DefaultParagraphFont"/>
    <w:link w:val="PlainText"/>
    <w:uiPriority w:val="99"/>
    <w:locked/>
    <w:rsid w:val="009C626E"/>
    <w:rPr>
      <w:rFonts w:ascii="宋体" w:hAnsi="Courier New" w:cs="宋体"/>
      <w:kern w:val="2"/>
      <w:sz w:val="21"/>
      <w:szCs w:val="21"/>
    </w:rPr>
  </w:style>
  <w:style w:type="paragraph" w:styleId="BalloonText">
    <w:name w:val="Balloon Text"/>
    <w:basedOn w:val="Normal"/>
    <w:link w:val="BalloonTextChar"/>
    <w:uiPriority w:val="99"/>
    <w:semiHidden/>
    <w:rsid w:val="009C626E"/>
    <w:rPr>
      <w:sz w:val="18"/>
      <w:szCs w:val="18"/>
    </w:rPr>
  </w:style>
  <w:style w:type="character" w:customStyle="1" w:styleId="BalloonTextChar">
    <w:name w:val="Balloon Text Char"/>
    <w:basedOn w:val="DefaultParagraphFont"/>
    <w:link w:val="BalloonText"/>
    <w:uiPriority w:val="99"/>
    <w:semiHidden/>
    <w:rsid w:val="00A1215D"/>
    <w:rPr>
      <w:rFonts w:cs="Calibri"/>
      <w:sz w:val="0"/>
      <w:szCs w:val="0"/>
    </w:rPr>
  </w:style>
  <w:style w:type="paragraph" w:styleId="Footer">
    <w:name w:val="footer"/>
    <w:basedOn w:val="Normal"/>
    <w:link w:val="FooterChar"/>
    <w:uiPriority w:val="99"/>
    <w:rsid w:val="009C62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1215D"/>
    <w:rPr>
      <w:rFonts w:cs="Calibri"/>
      <w:sz w:val="18"/>
      <w:szCs w:val="18"/>
    </w:rPr>
  </w:style>
  <w:style w:type="paragraph" w:styleId="Header">
    <w:name w:val="header"/>
    <w:basedOn w:val="Normal"/>
    <w:link w:val="HeaderChar"/>
    <w:uiPriority w:val="99"/>
    <w:rsid w:val="009C62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1215D"/>
    <w:rPr>
      <w:rFonts w:cs="Calibri"/>
      <w:sz w:val="18"/>
      <w:szCs w:val="18"/>
    </w:rPr>
  </w:style>
  <w:style w:type="paragraph" w:styleId="BodyTextIndent3">
    <w:name w:val="Body Text Indent 3"/>
    <w:basedOn w:val="Normal"/>
    <w:link w:val="BodyTextIndent3Char"/>
    <w:uiPriority w:val="99"/>
    <w:rsid w:val="009C626E"/>
    <w:pPr>
      <w:adjustRightInd w:val="0"/>
      <w:snapToGrid w:val="0"/>
      <w:ind w:firstLineChars="200" w:firstLine="420"/>
    </w:pPr>
    <w:rPr>
      <w:rFonts w:ascii="宋体" w:hAnsi="宋体" w:cs="宋体"/>
      <w:i/>
      <w:iCs/>
      <w:color w:val="FF0000"/>
    </w:rPr>
  </w:style>
  <w:style w:type="character" w:customStyle="1" w:styleId="BodyTextIndent3Char">
    <w:name w:val="Body Text Indent 3 Char"/>
    <w:basedOn w:val="DefaultParagraphFont"/>
    <w:link w:val="BodyTextIndent3"/>
    <w:uiPriority w:val="99"/>
    <w:semiHidden/>
    <w:rsid w:val="00A1215D"/>
    <w:rPr>
      <w:rFonts w:cs="Calibri"/>
      <w:sz w:val="16"/>
      <w:szCs w:val="16"/>
    </w:rPr>
  </w:style>
  <w:style w:type="table" w:styleId="TableGrid">
    <w:name w:val="Table Grid"/>
    <w:basedOn w:val="TableNormal"/>
    <w:uiPriority w:val="99"/>
    <w:rsid w:val="009C626E"/>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C626E"/>
  </w:style>
  <w:style w:type="character" w:styleId="Hyperlink">
    <w:name w:val="Hyperlink"/>
    <w:basedOn w:val="DefaultParagraphFont"/>
    <w:uiPriority w:val="99"/>
    <w:rsid w:val="009C626E"/>
    <w:rPr>
      <w:color w:val="0000FF"/>
      <w:u w:val="single"/>
    </w:rPr>
  </w:style>
  <w:style w:type="character" w:styleId="HTMLSample">
    <w:name w:val="HTML Sample"/>
    <w:basedOn w:val="DefaultParagraphFont"/>
    <w:uiPriority w:val="99"/>
    <w:rsid w:val="009C626E"/>
    <w:rPr>
      <w:rFonts w:ascii="Courier New" w:hAnsi="Courier New" w:cs="Courier New"/>
    </w:rPr>
  </w:style>
  <w:style w:type="character" w:customStyle="1" w:styleId="Char">
    <w:name w:val="段 Char"/>
    <w:link w:val="a9"/>
    <w:uiPriority w:val="99"/>
    <w:locked/>
    <w:rsid w:val="009C626E"/>
    <w:rPr>
      <w:rFonts w:ascii="宋体" w:cs="宋体"/>
      <w:sz w:val="21"/>
      <w:szCs w:val="21"/>
      <w:lang w:val="en-US" w:eastAsia="zh-CN"/>
    </w:rPr>
  </w:style>
  <w:style w:type="paragraph" w:customStyle="1" w:styleId="a9">
    <w:name w:val="段"/>
    <w:link w:val="Char"/>
    <w:uiPriority w:val="99"/>
    <w:rsid w:val="009C626E"/>
    <w:pPr>
      <w:autoSpaceDE w:val="0"/>
      <w:autoSpaceDN w:val="0"/>
      <w:ind w:firstLineChars="200" w:firstLine="200"/>
      <w:jc w:val="both"/>
    </w:pPr>
    <w:rPr>
      <w:rFonts w:ascii="宋体" w:cs="宋体"/>
      <w:kern w:val="0"/>
      <w:szCs w:val="21"/>
    </w:rPr>
  </w:style>
  <w:style w:type="paragraph" w:customStyle="1" w:styleId="aa">
    <w:name w:val="公文正文"/>
    <w:basedOn w:val="Normal"/>
    <w:uiPriority w:val="99"/>
    <w:rsid w:val="009C626E"/>
    <w:pPr>
      <w:ind w:firstLineChars="200" w:firstLine="200"/>
    </w:pPr>
    <w:rPr>
      <w:rFonts w:eastAsia="仿宋_GB2312"/>
      <w:sz w:val="32"/>
      <w:szCs w:val="32"/>
    </w:rPr>
  </w:style>
  <w:style w:type="paragraph" w:customStyle="1" w:styleId="CharCharCharCharCharCharChar">
    <w:name w:val="Char Char Char Char Char Char Char"/>
    <w:basedOn w:val="Normal"/>
    <w:uiPriority w:val="99"/>
    <w:rsid w:val="009C626E"/>
    <w:pPr>
      <w:widowControl/>
      <w:spacing w:after="160" w:line="240" w:lineRule="exact"/>
      <w:jc w:val="left"/>
    </w:pPr>
    <w:rPr>
      <w:rFonts w:ascii="Verdana" w:hAnsi="Verdana" w:cs="Verdana"/>
      <w:kern w:val="0"/>
      <w:sz w:val="20"/>
      <w:szCs w:val="20"/>
      <w:lang w:eastAsia="en-US"/>
    </w:rPr>
  </w:style>
  <w:style w:type="paragraph" w:customStyle="1" w:styleId="a3">
    <w:name w:val="章标题"/>
    <w:next w:val="a9"/>
    <w:uiPriority w:val="99"/>
    <w:rsid w:val="009C626E"/>
    <w:pPr>
      <w:numPr>
        <w:ilvl w:val="1"/>
        <w:numId w:val="1"/>
      </w:numPr>
      <w:spacing w:beforeLines="50" w:afterLines="50"/>
      <w:jc w:val="both"/>
      <w:outlineLvl w:val="1"/>
    </w:pPr>
    <w:rPr>
      <w:rFonts w:ascii="黑体" w:eastAsia="黑体" w:cs="黑体"/>
      <w:kern w:val="0"/>
      <w:szCs w:val="21"/>
    </w:rPr>
  </w:style>
  <w:style w:type="paragraph" w:customStyle="1" w:styleId="a">
    <w:name w:val="二级无"/>
    <w:basedOn w:val="a5"/>
    <w:uiPriority w:val="99"/>
    <w:rsid w:val="009C626E"/>
    <w:pPr>
      <w:numPr>
        <w:ilvl w:val="2"/>
        <w:numId w:val="2"/>
      </w:numPr>
      <w:spacing w:beforeLines="0" w:afterLines="0"/>
    </w:pPr>
    <w:rPr>
      <w:rFonts w:ascii="宋体" w:eastAsia="宋体" w:cs="宋体"/>
    </w:rPr>
  </w:style>
  <w:style w:type="paragraph" w:customStyle="1" w:styleId="a5">
    <w:name w:val="二级条标题"/>
    <w:basedOn w:val="a4"/>
    <w:next w:val="a9"/>
    <w:uiPriority w:val="99"/>
    <w:rsid w:val="009C626E"/>
    <w:pPr>
      <w:numPr>
        <w:ilvl w:val="3"/>
      </w:numPr>
      <w:outlineLvl w:val="3"/>
    </w:pPr>
  </w:style>
  <w:style w:type="paragraph" w:customStyle="1" w:styleId="a4">
    <w:name w:val="一级条标题"/>
    <w:basedOn w:val="a3"/>
    <w:next w:val="a9"/>
    <w:uiPriority w:val="99"/>
    <w:rsid w:val="009C626E"/>
    <w:pPr>
      <w:numPr>
        <w:ilvl w:val="2"/>
      </w:numPr>
      <w:outlineLvl w:val="2"/>
    </w:pPr>
  </w:style>
  <w:style w:type="paragraph" w:customStyle="1" w:styleId="CharCharCharCharCharCharCharCharChar">
    <w:name w:val="Char Char Char Char Char Char Char Char Char"/>
    <w:basedOn w:val="Normal"/>
    <w:uiPriority w:val="99"/>
    <w:rsid w:val="009C626E"/>
    <w:pPr>
      <w:widowControl/>
      <w:spacing w:after="160" w:line="240" w:lineRule="exact"/>
      <w:jc w:val="left"/>
    </w:pPr>
    <w:rPr>
      <w:rFonts w:ascii="Verdana" w:eastAsia="仿宋_GB2312" w:hAnsi="Verdana" w:cs="Verdana"/>
      <w:kern w:val="0"/>
      <w:sz w:val="24"/>
      <w:szCs w:val="24"/>
      <w:lang w:eastAsia="en-US"/>
    </w:rPr>
  </w:style>
  <w:style w:type="paragraph" w:customStyle="1" w:styleId="ab">
    <w:name w:val="标准书脚_偶数页"/>
    <w:uiPriority w:val="99"/>
    <w:rsid w:val="009C626E"/>
    <w:pPr>
      <w:spacing w:before="120"/>
    </w:pPr>
    <w:rPr>
      <w:rFonts w:ascii="Times New Roman" w:hAnsi="Times New Roman"/>
      <w:kern w:val="0"/>
      <w:sz w:val="18"/>
      <w:szCs w:val="18"/>
    </w:rPr>
  </w:style>
  <w:style w:type="paragraph" w:customStyle="1" w:styleId="ac">
    <w:name w:val="标准书脚_奇数页"/>
    <w:uiPriority w:val="99"/>
    <w:rsid w:val="009C626E"/>
    <w:pPr>
      <w:spacing w:before="120"/>
      <w:jc w:val="right"/>
    </w:pPr>
    <w:rPr>
      <w:rFonts w:ascii="Times New Roman" w:hAnsi="Times New Roman"/>
      <w:kern w:val="0"/>
      <w:sz w:val="18"/>
      <w:szCs w:val="18"/>
    </w:rPr>
  </w:style>
  <w:style w:type="paragraph" w:customStyle="1" w:styleId="a0">
    <w:name w:val="列项——（一级）"/>
    <w:uiPriority w:val="99"/>
    <w:rsid w:val="009C626E"/>
    <w:pPr>
      <w:widowControl w:val="0"/>
      <w:numPr>
        <w:numId w:val="3"/>
      </w:numPr>
      <w:jc w:val="both"/>
    </w:pPr>
    <w:rPr>
      <w:rFonts w:ascii="宋体" w:cs="宋体"/>
      <w:kern w:val="0"/>
      <w:szCs w:val="21"/>
    </w:rPr>
  </w:style>
  <w:style w:type="paragraph" w:customStyle="1" w:styleId="a2">
    <w:name w:val="前言、引言标题"/>
    <w:next w:val="Normal"/>
    <w:uiPriority w:val="99"/>
    <w:rsid w:val="009C626E"/>
    <w:pPr>
      <w:numPr>
        <w:numId w:val="1"/>
      </w:numPr>
      <w:shd w:val="clear" w:color="FFFFFF" w:fill="FFFFFF"/>
      <w:spacing w:before="640" w:after="560"/>
      <w:jc w:val="center"/>
      <w:outlineLvl w:val="0"/>
    </w:pPr>
    <w:rPr>
      <w:rFonts w:ascii="黑体" w:eastAsia="黑体" w:cs="黑体"/>
      <w:kern w:val="0"/>
      <w:sz w:val="32"/>
      <w:szCs w:val="32"/>
    </w:rPr>
  </w:style>
  <w:style w:type="paragraph" w:customStyle="1" w:styleId="a8">
    <w:name w:val="五级条标题"/>
    <w:basedOn w:val="a7"/>
    <w:next w:val="Normal"/>
    <w:uiPriority w:val="99"/>
    <w:rsid w:val="009C626E"/>
    <w:pPr>
      <w:numPr>
        <w:ilvl w:val="6"/>
      </w:numPr>
      <w:outlineLvl w:val="6"/>
    </w:pPr>
  </w:style>
  <w:style w:type="paragraph" w:customStyle="1" w:styleId="a7">
    <w:name w:val="四级条标题"/>
    <w:basedOn w:val="a6"/>
    <w:next w:val="Normal"/>
    <w:uiPriority w:val="99"/>
    <w:rsid w:val="009C626E"/>
    <w:pPr>
      <w:numPr>
        <w:ilvl w:val="5"/>
      </w:numPr>
      <w:outlineLvl w:val="5"/>
    </w:pPr>
  </w:style>
  <w:style w:type="paragraph" w:customStyle="1" w:styleId="a6">
    <w:name w:val="三级条标题"/>
    <w:basedOn w:val="a5"/>
    <w:next w:val="Normal"/>
    <w:uiPriority w:val="99"/>
    <w:rsid w:val="009C626E"/>
    <w:pPr>
      <w:numPr>
        <w:ilvl w:val="4"/>
      </w:numPr>
      <w:outlineLvl w:val="4"/>
    </w:pPr>
  </w:style>
  <w:style w:type="paragraph" w:styleId="ListParagraph">
    <w:name w:val="List Paragraph"/>
    <w:basedOn w:val="Normal"/>
    <w:uiPriority w:val="99"/>
    <w:qFormat/>
    <w:rsid w:val="009C626E"/>
    <w:pPr>
      <w:ind w:firstLineChars="200" w:firstLine="420"/>
    </w:pPr>
  </w:style>
  <w:style w:type="paragraph" w:customStyle="1" w:styleId="ad">
    <w:name w:val="目次、标准名称标题"/>
    <w:basedOn w:val="a2"/>
    <w:next w:val="Normal"/>
    <w:uiPriority w:val="99"/>
    <w:rsid w:val="009C626E"/>
    <w:pPr>
      <w:spacing w:line="460" w:lineRule="exact"/>
    </w:pPr>
  </w:style>
  <w:style w:type="paragraph" w:customStyle="1" w:styleId="a1">
    <w:name w:val="字母编号列项（一级）"/>
    <w:uiPriority w:val="99"/>
    <w:rsid w:val="009C626E"/>
    <w:pPr>
      <w:numPr>
        <w:numId w:val="4"/>
      </w:numPr>
      <w:jc w:val="both"/>
    </w:pPr>
    <w:rPr>
      <w:rFonts w:ascii="宋体" w:cs="宋体"/>
      <w:kern w:val="0"/>
      <w:szCs w:val="21"/>
    </w:rPr>
  </w:style>
  <w:style w:type="character" w:customStyle="1" w:styleId="apple-style-span">
    <w:name w:val="apple-style-span"/>
    <w:basedOn w:val="DefaultParagraphFont"/>
    <w:uiPriority w:val="99"/>
    <w:rsid w:val="009C62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13</Pages>
  <Words>1249</Words>
  <Characters>7123</Characters>
  <Application>Microsoft Office Outlook</Application>
  <DocSecurity>0</DocSecurity>
  <Lines>0</Lines>
  <Paragraphs>0</Paragraphs>
  <ScaleCrop>false</ScaleCrop>
  <Company>ciq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中华人民共和国出入境检验检疫局行业标准</dc:title>
  <dc:subject/>
  <dc:creator>SJ</dc:creator>
  <cp:keywords/>
  <dc:description/>
  <cp:lastModifiedBy>李学坤</cp:lastModifiedBy>
  <cp:revision>34</cp:revision>
  <cp:lastPrinted>2017-02-10T02:14:00Z</cp:lastPrinted>
  <dcterms:created xsi:type="dcterms:W3CDTF">2019-07-25T06:14:00Z</dcterms:created>
  <dcterms:modified xsi:type="dcterms:W3CDTF">2019-07-30T09:00:00Z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