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138" w:rsidRDefault="00AF272A">
      <w:pPr>
        <w:spacing w:line="560" w:lineRule="exact"/>
        <w:jc w:val="center"/>
        <w:rPr>
          <w:rFonts w:ascii="方正小标宋简体" w:eastAsia="方正小标宋简体" w:hAnsi="Times New Roman" w:cs="Times New Roman"/>
          <w:b/>
          <w:bCs/>
          <w:sz w:val="44"/>
          <w:szCs w:val="44"/>
        </w:rPr>
      </w:pPr>
      <w:bookmarkStart w:id="0" w:name="_GoBack"/>
      <w:bookmarkEnd w:id="0"/>
      <w:r>
        <w:rPr>
          <w:rFonts w:ascii="方正小标宋简体" w:eastAsia="方正小标宋简体" w:hAnsi="Times New Roman" w:cs="方正小标宋简体" w:hint="eastAsia"/>
          <w:b/>
          <w:bCs/>
          <w:sz w:val="44"/>
          <w:szCs w:val="44"/>
        </w:rPr>
        <w:t>深圳市工贸企业安全生产三级标准化创建标准重点清单（试行）</w:t>
      </w:r>
    </w:p>
    <w:p w:rsidR="00AE6138" w:rsidRDefault="00AF272A">
      <w:pPr>
        <w:spacing w:line="560" w:lineRule="exact"/>
        <w:jc w:val="center"/>
        <w:rPr>
          <w:rFonts w:ascii="方正小标宋简体" w:eastAsia="方正小标宋简体" w:hAnsi="Times New Roman"/>
          <w:b/>
          <w:bCs/>
          <w:sz w:val="44"/>
          <w:szCs w:val="44"/>
        </w:rPr>
      </w:pPr>
      <w:r>
        <w:rPr>
          <w:rFonts w:ascii="方正小标宋简体" w:eastAsia="方正小标宋简体" w:hAnsi="Times New Roman" w:hint="eastAsia"/>
          <w:b/>
          <w:bCs/>
          <w:sz w:val="44"/>
          <w:szCs w:val="44"/>
        </w:rPr>
        <w:t>（纺织</w:t>
      </w:r>
      <w:r w:rsidR="00593F01">
        <w:rPr>
          <w:rFonts w:ascii="方正小标宋简体" w:eastAsia="方正小标宋简体" w:hAnsi="Times New Roman" w:hint="eastAsia"/>
          <w:b/>
          <w:bCs/>
          <w:sz w:val="44"/>
          <w:szCs w:val="44"/>
        </w:rPr>
        <w:t>、</w:t>
      </w:r>
      <w:r w:rsidR="00593F01">
        <w:rPr>
          <w:rFonts w:ascii="方正小标宋简体" w:eastAsia="方正小标宋简体" w:hAnsi="Times New Roman"/>
          <w:b/>
          <w:bCs/>
          <w:sz w:val="44"/>
          <w:szCs w:val="44"/>
        </w:rPr>
        <w:t>服装生产</w:t>
      </w:r>
      <w:r>
        <w:rPr>
          <w:rFonts w:ascii="方正小标宋简体" w:eastAsia="方正小标宋简体" w:hAnsi="Times New Roman" w:hint="eastAsia"/>
          <w:b/>
          <w:bCs/>
          <w:sz w:val="44"/>
          <w:szCs w:val="44"/>
        </w:rPr>
        <w:t>企业）</w:t>
      </w:r>
    </w:p>
    <w:p w:rsidR="00AE6138" w:rsidRDefault="00AF272A">
      <w:pPr>
        <w:spacing w:line="560" w:lineRule="exact"/>
        <w:jc w:val="center"/>
        <w:rPr>
          <w:rFonts w:ascii="黑体" w:eastAsia="黑体" w:hAnsi="黑体"/>
          <w:b/>
          <w:bCs/>
          <w:sz w:val="32"/>
          <w:szCs w:val="32"/>
        </w:rPr>
      </w:pPr>
      <w:r>
        <w:rPr>
          <w:rFonts w:ascii="黑体" w:eastAsia="黑体" w:hAnsi="黑体" w:hint="eastAsia"/>
          <w:b/>
          <w:bCs/>
          <w:sz w:val="32"/>
          <w:szCs w:val="32"/>
        </w:rPr>
        <w:t>考 评 说 明</w:t>
      </w:r>
    </w:p>
    <w:p w:rsidR="00AE6138" w:rsidRDefault="00AF272A">
      <w:pPr>
        <w:pStyle w:val="ad"/>
        <w:numPr>
          <w:ilvl w:val="0"/>
          <w:numId w:val="1"/>
        </w:numPr>
        <w:tabs>
          <w:tab w:val="left" w:pos="851"/>
        </w:tabs>
        <w:spacing w:line="560" w:lineRule="exact"/>
        <w:ind w:firstLineChars="0"/>
        <w:rPr>
          <w:rFonts w:ascii="仿宋_GB2312" w:eastAsia="仿宋_GB2312"/>
          <w:sz w:val="24"/>
          <w:szCs w:val="24"/>
        </w:rPr>
      </w:pPr>
      <w:r>
        <w:rPr>
          <w:rFonts w:ascii="仿宋_GB2312" w:eastAsia="仿宋_GB2312" w:hint="eastAsia"/>
          <w:sz w:val="24"/>
          <w:szCs w:val="24"/>
        </w:rPr>
        <w:t>本评定标准适用于深圳市工贸企业中纺织服装、服饰织造、印花、成衣等纺织</w:t>
      </w:r>
      <w:r w:rsidR="00593F01">
        <w:rPr>
          <w:rFonts w:ascii="仿宋_GB2312" w:eastAsia="仿宋_GB2312" w:hint="eastAsia"/>
          <w:sz w:val="24"/>
          <w:szCs w:val="24"/>
        </w:rPr>
        <w:t>、</w:t>
      </w:r>
      <w:r w:rsidR="00593F01">
        <w:rPr>
          <w:rFonts w:ascii="仿宋_GB2312" w:eastAsia="仿宋_GB2312"/>
          <w:sz w:val="24"/>
          <w:szCs w:val="24"/>
        </w:rPr>
        <w:t>服装生产</w:t>
      </w:r>
      <w:r>
        <w:rPr>
          <w:rFonts w:ascii="仿宋_GB2312" w:eastAsia="仿宋_GB2312" w:hint="eastAsia"/>
          <w:sz w:val="24"/>
          <w:szCs w:val="24"/>
        </w:rPr>
        <w:t>企业开展三级安全生产标准化建设工作。</w:t>
      </w:r>
    </w:p>
    <w:p w:rsidR="00AE6138" w:rsidRDefault="00AF272A">
      <w:pPr>
        <w:pStyle w:val="ad"/>
        <w:numPr>
          <w:ilvl w:val="0"/>
          <w:numId w:val="1"/>
        </w:numPr>
        <w:tabs>
          <w:tab w:val="left" w:pos="851"/>
        </w:tabs>
        <w:spacing w:line="560" w:lineRule="exact"/>
        <w:ind w:firstLineChars="0"/>
        <w:jc w:val="left"/>
        <w:rPr>
          <w:rFonts w:ascii="仿宋_GB2312" w:eastAsia="仿宋_GB2312"/>
          <w:sz w:val="24"/>
          <w:szCs w:val="24"/>
        </w:rPr>
      </w:pPr>
      <w:r>
        <w:rPr>
          <w:rFonts w:ascii="仿宋_GB2312" w:eastAsia="仿宋_GB2312" w:hint="eastAsia"/>
          <w:sz w:val="24"/>
          <w:szCs w:val="24"/>
        </w:rPr>
        <w:t>企业符合以下评审事项，视为三级安全生产标准化达标；任意一条评审事项不符合不予以达标。</w:t>
      </w:r>
      <w:r>
        <w:rPr>
          <w:rFonts w:ascii="仿宋_GB2312" w:eastAsia="仿宋_GB2312"/>
          <w:sz w:val="24"/>
          <w:szCs w:val="24"/>
        </w:rPr>
        <w:t xml:space="preserve"> </w:t>
      </w:r>
    </w:p>
    <w:tbl>
      <w:tblPr>
        <w:tblW w:w="13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612"/>
        <w:gridCol w:w="9433"/>
        <w:gridCol w:w="925"/>
      </w:tblGrid>
      <w:tr w:rsidR="00AE6138">
        <w:trPr>
          <w:trHeight w:val="696"/>
          <w:tblHeader/>
          <w:jc w:val="center"/>
        </w:trPr>
        <w:tc>
          <w:tcPr>
            <w:tcW w:w="708" w:type="dxa"/>
            <w:vAlign w:val="center"/>
          </w:tcPr>
          <w:p w:rsidR="00AE6138" w:rsidRDefault="00AF272A">
            <w:pPr>
              <w:spacing w:line="320" w:lineRule="exact"/>
              <w:jc w:val="center"/>
              <w:rPr>
                <w:rFonts w:ascii="黑体" w:eastAsia="黑体" w:hAnsi="黑体" w:cs="黑体"/>
                <w:sz w:val="24"/>
                <w:szCs w:val="24"/>
              </w:rPr>
            </w:pPr>
            <w:r>
              <w:rPr>
                <w:rFonts w:ascii="黑体" w:eastAsia="黑体" w:hAnsi="黑体" w:cs="黑体" w:hint="eastAsia"/>
                <w:sz w:val="24"/>
                <w:szCs w:val="24"/>
              </w:rPr>
              <w:t>序号</w:t>
            </w:r>
          </w:p>
        </w:tc>
        <w:tc>
          <w:tcPr>
            <w:tcW w:w="2612" w:type="dxa"/>
            <w:vAlign w:val="center"/>
          </w:tcPr>
          <w:p w:rsidR="00AE6138" w:rsidRDefault="00AF272A">
            <w:pPr>
              <w:spacing w:line="320" w:lineRule="exact"/>
              <w:jc w:val="center"/>
              <w:rPr>
                <w:rFonts w:ascii="黑体" w:eastAsia="黑体" w:hAnsi="黑体" w:cs="黑体"/>
                <w:sz w:val="24"/>
                <w:szCs w:val="24"/>
              </w:rPr>
            </w:pPr>
            <w:r>
              <w:rPr>
                <w:rFonts w:ascii="黑体" w:eastAsia="黑体" w:hAnsi="黑体" w:cs="黑体" w:hint="eastAsia"/>
                <w:sz w:val="24"/>
                <w:szCs w:val="24"/>
              </w:rPr>
              <w:t>评审事项</w:t>
            </w:r>
          </w:p>
        </w:tc>
        <w:tc>
          <w:tcPr>
            <w:tcW w:w="9433" w:type="dxa"/>
            <w:vAlign w:val="center"/>
          </w:tcPr>
          <w:p w:rsidR="00AE6138" w:rsidRDefault="00AF272A">
            <w:pPr>
              <w:spacing w:line="320" w:lineRule="exact"/>
              <w:jc w:val="center"/>
              <w:rPr>
                <w:rFonts w:ascii="黑体" w:eastAsia="黑体" w:hAnsi="黑体" w:cs="黑体"/>
                <w:sz w:val="24"/>
                <w:szCs w:val="24"/>
              </w:rPr>
            </w:pPr>
            <w:r>
              <w:rPr>
                <w:rFonts w:ascii="黑体" w:eastAsia="黑体" w:hAnsi="黑体" w:cs="黑体" w:hint="eastAsia"/>
                <w:sz w:val="24"/>
                <w:szCs w:val="24"/>
              </w:rPr>
              <w:t>评审内容</w:t>
            </w:r>
          </w:p>
        </w:tc>
        <w:tc>
          <w:tcPr>
            <w:tcW w:w="925" w:type="dxa"/>
            <w:vAlign w:val="center"/>
          </w:tcPr>
          <w:p w:rsidR="00AE6138" w:rsidRDefault="00AF272A">
            <w:pPr>
              <w:spacing w:line="320" w:lineRule="exact"/>
              <w:jc w:val="center"/>
              <w:rPr>
                <w:rFonts w:ascii="黑体" w:eastAsia="黑体" w:hAnsi="黑体" w:cs="黑体"/>
                <w:sz w:val="24"/>
                <w:szCs w:val="24"/>
              </w:rPr>
            </w:pPr>
            <w:r>
              <w:rPr>
                <w:rFonts w:ascii="黑体" w:eastAsia="黑体" w:hAnsi="黑体" w:cs="黑体" w:hint="eastAsia"/>
                <w:sz w:val="24"/>
                <w:szCs w:val="24"/>
              </w:rPr>
              <w:t>是否符合</w:t>
            </w:r>
          </w:p>
        </w:tc>
      </w:tr>
      <w:tr w:rsidR="00AE6138">
        <w:trPr>
          <w:trHeight w:val="1520"/>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sz w:val="24"/>
                <w:szCs w:val="24"/>
              </w:rPr>
              <w:t>1</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安全生产责任制、规章制度、安全生产主体责任承诺制度</w:t>
            </w:r>
          </w:p>
        </w:tc>
        <w:tc>
          <w:tcPr>
            <w:tcW w:w="9433"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1）企业</w:t>
            </w:r>
            <w:r>
              <w:rPr>
                <w:rFonts w:ascii="仿宋_GB2312" w:eastAsia="仿宋_GB2312" w:cs="仿宋_GB2312" w:hint="eastAsia"/>
                <w:sz w:val="24"/>
                <w:szCs w:val="24"/>
              </w:rPr>
              <w:t>应实行全员安全生产责任制，明确各岗位从业人员的安全生产责任范围和考核标准等内容；</w:t>
            </w:r>
          </w:p>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企业应建立安全生产教育培训制度、风险辨识和分级管控制度、隐患排查治理制度等安全生产规章制度</w:t>
            </w:r>
            <w:r w:rsidR="00CF41BE">
              <w:rPr>
                <w:rFonts w:ascii="仿宋_GB2312" w:eastAsia="仿宋_GB2312" w:cs="仿宋_GB2312" w:hint="eastAsia"/>
                <w:sz w:val="24"/>
                <w:szCs w:val="24"/>
              </w:rPr>
              <w:t>，</w:t>
            </w:r>
            <w:r w:rsidR="00CF41BE">
              <w:rPr>
                <w:rFonts w:ascii="仿宋_GB2312" w:eastAsia="仿宋_GB2312" w:cs="仿宋_GB2312"/>
                <w:sz w:val="24"/>
                <w:szCs w:val="24"/>
              </w:rPr>
              <w:t>制定</w:t>
            </w:r>
            <w:r>
              <w:rPr>
                <w:rFonts w:ascii="仿宋_GB2312" w:eastAsia="仿宋_GB2312" w:cs="仿宋_GB2312" w:hint="eastAsia"/>
                <w:sz w:val="24"/>
                <w:szCs w:val="24"/>
              </w:rPr>
              <w:t>裁断机等风险较大设备的安全操作规程；</w:t>
            </w:r>
          </w:p>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3）企业主要负责人必须书面承诺严格遵守安全生产相关法律法规，并向社会公示，接受社会监督。</w:t>
            </w:r>
          </w:p>
        </w:tc>
        <w:tc>
          <w:tcPr>
            <w:tcW w:w="925" w:type="dxa"/>
            <w:vAlign w:val="center"/>
          </w:tcPr>
          <w:p w:rsidR="00AE6138" w:rsidRDefault="00AE6138">
            <w:pPr>
              <w:spacing w:line="360" w:lineRule="auto"/>
              <w:rPr>
                <w:rFonts w:ascii="宋体" w:cs="Times New Roman"/>
                <w:sz w:val="24"/>
                <w:szCs w:val="24"/>
              </w:rPr>
            </w:pPr>
          </w:p>
        </w:tc>
      </w:tr>
      <w:tr w:rsidR="00AE6138">
        <w:trPr>
          <w:trHeight w:val="762"/>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sz w:val="24"/>
                <w:szCs w:val="24"/>
              </w:rPr>
              <w:t>2</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安全管理机构或安全生产管理人员</w:t>
            </w:r>
          </w:p>
        </w:tc>
        <w:tc>
          <w:tcPr>
            <w:tcW w:w="9433"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企业应依法设立安全生产管理机构，或配备安全生产管理人员。</w:t>
            </w:r>
          </w:p>
        </w:tc>
        <w:tc>
          <w:tcPr>
            <w:tcW w:w="925" w:type="dxa"/>
            <w:vAlign w:val="center"/>
          </w:tcPr>
          <w:p w:rsidR="00AE6138" w:rsidRDefault="00AE6138">
            <w:pPr>
              <w:spacing w:line="360" w:lineRule="auto"/>
              <w:rPr>
                <w:rFonts w:ascii="宋体" w:cs="Times New Roman"/>
                <w:sz w:val="24"/>
                <w:szCs w:val="24"/>
              </w:rPr>
            </w:pPr>
          </w:p>
        </w:tc>
      </w:tr>
      <w:tr w:rsidR="00AE6138">
        <w:trPr>
          <w:trHeight w:val="387"/>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sz w:val="24"/>
                <w:szCs w:val="24"/>
              </w:rPr>
              <w:t>3</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安全生产教育和培训</w:t>
            </w:r>
          </w:p>
        </w:tc>
        <w:tc>
          <w:tcPr>
            <w:tcW w:w="9433"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（1）企业应每年至少组织一次全员安全生产教育和培训；</w:t>
            </w:r>
          </w:p>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（2）企业应对新进从业人员、离岗复工人员等进行安全生产教育和培训，未经培训合格不得上岗作业；</w:t>
            </w:r>
          </w:p>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w:t>
            </w:r>
            <w:r>
              <w:rPr>
                <w:rFonts w:ascii="仿宋_GB2312" w:eastAsia="仿宋_GB2312" w:cs="仿宋_GB2312" w:hint="eastAsia"/>
                <w:sz w:val="24"/>
                <w:szCs w:val="24"/>
              </w:rPr>
              <w:t>）企业应对涉及动火作业和临时用电等岗位作业人员进行专项安全培训。</w:t>
            </w:r>
          </w:p>
        </w:tc>
        <w:tc>
          <w:tcPr>
            <w:tcW w:w="925" w:type="dxa"/>
            <w:vAlign w:val="center"/>
          </w:tcPr>
          <w:p w:rsidR="00AE6138" w:rsidRDefault="00AE6138">
            <w:pPr>
              <w:spacing w:line="360" w:lineRule="auto"/>
              <w:rPr>
                <w:rFonts w:ascii="宋体" w:cs="Times New Roman"/>
                <w:sz w:val="24"/>
                <w:szCs w:val="24"/>
              </w:rPr>
            </w:pPr>
          </w:p>
        </w:tc>
      </w:tr>
      <w:tr w:rsidR="00AE6138">
        <w:trPr>
          <w:trHeight w:val="105"/>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sz w:val="24"/>
                <w:szCs w:val="24"/>
              </w:rPr>
              <w:t>4</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风险辨识和分级管控</w:t>
            </w:r>
          </w:p>
        </w:tc>
        <w:tc>
          <w:tcPr>
            <w:tcW w:w="9433"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（1）企业应当辨识本企业的安全风险，明确风险管控层级,制定风险管控措施，建立安全风险清单；</w:t>
            </w:r>
          </w:p>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）企业应设置岗位安全风险告知卡。</w:t>
            </w:r>
          </w:p>
        </w:tc>
        <w:tc>
          <w:tcPr>
            <w:tcW w:w="925" w:type="dxa"/>
            <w:vAlign w:val="center"/>
          </w:tcPr>
          <w:p w:rsidR="00AE6138" w:rsidRDefault="00AE6138">
            <w:pPr>
              <w:spacing w:line="360" w:lineRule="auto"/>
              <w:rPr>
                <w:rFonts w:ascii="宋体" w:cs="Times New Roman"/>
                <w:sz w:val="24"/>
                <w:szCs w:val="24"/>
              </w:rPr>
            </w:pPr>
          </w:p>
        </w:tc>
      </w:tr>
      <w:tr w:rsidR="00AE6138">
        <w:trPr>
          <w:trHeight w:val="728"/>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sz w:val="24"/>
                <w:szCs w:val="24"/>
              </w:rPr>
              <w:lastRenderedPageBreak/>
              <w:t>5</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隐患排查和治理</w:t>
            </w:r>
          </w:p>
        </w:tc>
        <w:tc>
          <w:tcPr>
            <w:tcW w:w="9433"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（1）企业应定期开展事故隐患排查，及时消除隐患，建立隐患管理台帐；</w:t>
            </w:r>
          </w:p>
          <w:p w:rsidR="00AE6138" w:rsidRDefault="00AF272A">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）企业主要负责人每半年至少组织一次全面隐患排查。</w:t>
            </w:r>
          </w:p>
        </w:tc>
        <w:tc>
          <w:tcPr>
            <w:tcW w:w="925" w:type="dxa"/>
            <w:vAlign w:val="center"/>
          </w:tcPr>
          <w:p w:rsidR="00AE6138" w:rsidRDefault="00AE6138">
            <w:pPr>
              <w:spacing w:line="360" w:lineRule="auto"/>
              <w:rPr>
                <w:rFonts w:ascii="宋体" w:cs="Times New Roman"/>
                <w:sz w:val="24"/>
                <w:szCs w:val="24"/>
              </w:rPr>
            </w:pPr>
          </w:p>
        </w:tc>
      </w:tr>
      <w:tr w:rsidR="00AE6138">
        <w:trPr>
          <w:trHeight w:val="854"/>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sz w:val="24"/>
                <w:szCs w:val="24"/>
              </w:rPr>
              <w:t>6</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设备设施安全</w:t>
            </w:r>
          </w:p>
        </w:tc>
        <w:tc>
          <w:tcPr>
            <w:tcW w:w="9433" w:type="dxa"/>
            <w:vAlign w:val="center"/>
          </w:tcPr>
          <w:p w:rsidR="00AE6138" w:rsidRDefault="00AF272A">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（1）卧式、移动裁断设备，缝制机、拷边机、锁边机、钉筘机、锁洞机等缝纫专用生产设备涉及到旋转、冲压、用刀等部位应做到防护装置齐全、安全、有效，裁断设备等大型设备操作面应设置急停开关；</w:t>
            </w:r>
          </w:p>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）设备应采取接地保护、防漏电保护、防过载保护等措施，电气线路无破损；</w:t>
            </w:r>
          </w:p>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（3）预缩机加热辊进出口、烘箱设备等发热部位应装有隔热设施；</w:t>
            </w:r>
          </w:p>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（4）</w:t>
            </w:r>
            <w:r>
              <w:rPr>
                <w:rFonts w:ascii="仿宋_GB2312" w:eastAsia="仿宋_GB2312" w:cs="仿宋_GB2312"/>
                <w:sz w:val="24"/>
                <w:szCs w:val="24"/>
              </w:rPr>
              <w:t>使用卧式裁断机(带式裁布机)等专用设备的从业人员必须佩戴金属防护手套</w:t>
            </w:r>
            <w:r>
              <w:rPr>
                <w:rFonts w:ascii="仿宋_GB2312" w:eastAsia="仿宋_GB2312" w:cs="仿宋_GB2312" w:hint="eastAsia"/>
                <w:sz w:val="24"/>
                <w:szCs w:val="24"/>
              </w:rPr>
              <w:t>；</w:t>
            </w:r>
          </w:p>
          <w:p w:rsidR="00AE6138" w:rsidRDefault="00AF272A">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（5）</w:t>
            </w:r>
            <w:r>
              <w:rPr>
                <w:rFonts w:ascii="仿宋_GB2312" w:eastAsia="仿宋_GB2312" w:cs="仿宋_GB2312"/>
                <w:sz w:val="24"/>
                <w:szCs w:val="24"/>
              </w:rPr>
              <w:t>电熨斗(吊瓶熨斗)等定型工具、设备温控、指示等应完好无损</w:t>
            </w:r>
            <w:r w:rsidR="00593F01">
              <w:rPr>
                <w:rFonts w:ascii="仿宋_GB2312" w:eastAsia="仿宋_GB2312" w:cs="仿宋_GB2312" w:hint="eastAsia"/>
                <w:sz w:val="24"/>
                <w:szCs w:val="24"/>
              </w:rPr>
              <w:t>。</w:t>
            </w:r>
          </w:p>
        </w:tc>
        <w:tc>
          <w:tcPr>
            <w:tcW w:w="925" w:type="dxa"/>
            <w:vAlign w:val="center"/>
          </w:tcPr>
          <w:p w:rsidR="00AE6138" w:rsidRDefault="00AE6138">
            <w:pPr>
              <w:spacing w:line="360" w:lineRule="auto"/>
              <w:rPr>
                <w:rFonts w:ascii="宋体" w:cs="Times New Roman"/>
                <w:sz w:val="24"/>
                <w:szCs w:val="24"/>
              </w:rPr>
            </w:pPr>
          </w:p>
        </w:tc>
      </w:tr>
      <w:tr w:rsidR="00AE6138">
        <w:trPr>
          <w:trHeight w:val="854"/>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cs="仿宋_GB2312" w:hint="eastAsia"/>
                <w:sz w:val="24"/>
                <w:szCs w:val="24"/>
              </w:rPr>
              <w:t>7</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用电安全</w:t>
            </w:r>
          </w:p>
        </w:tc>
        <w:tc>
          <w:tcPr>
            <w:tcW w:w="9433" w:type="dxa"/>
            <w:vAlign w:val="center"/>
          </w:tcPr>
          <w:p w:rsidR="00AE6138" w:rsidRDefault="00AF272A">
            <w:pPr>
              <w:spacing w:line="320" w:lineRule="exact"/>
              <w:jc w:val="left"/>
              <w:rPr>
                <w:rFonts w:ascii="仿宋_GB2312" w:eastAsia="仿宋_GB2312" w:cs="仿宋_GB2312"/>
                <w:sz w:val="24"/>
                <w:szCs w:val="24"/>
              </w:rPr>
            </w:pPr>
            <w:r w:rsidRPr="001F0F53">
              <w:rPr>
                <w:rFonts w:ascii="仿宋_GB2312" w:eastAsia="仿宋_GB2312" w:cs="仿宋_GB2312" w:hint="eastAsia"/>
                <w:sz w:val="24"/>
                <w:szCs w:val="24"/>
              </w:rPr>
              <w:t>（</w:t>
            </w:r>
            <w:r w:rsidRPr="001F0F53">
              <w:rPr>
                <w:rFonts w:ascii="仿宋_GB2312" w:eastAsia="仿宋_GB2312" w:cs="仿宋_GB2312"/>
                <w:sz w:val="24"/>
                <w:szCs w:val="24"/>
              </w:rPr>
              <w:t>1</w:t>
            </w:r>
            <w:r w:rsidRPr="001F0F53">
              <w:rPr>
                <w:rFonts w:ascii="仿宋_GB2312" w:eastAsia="仿宋_GB2312" w:cs="仿宋_GB2312" w:hint="eastAsia"/>
                <w:sz w:val="24"/>
                <w:szCs w:val="24"/>
              </w:rPr>
              <w:t>）配电室</w:t>
            </w:r>
            <w:r>
              <w:rPr>
                <w:rFonts w:ascii="仿宋_GB2312" w:eastAsia="仿宋_GB2312" w:cs="仿宋_GB2312" w:hint="eastAsia"/>
                <w:sz w:val="24"/>
                <w:szCs w:val="24"/>
              </w:rPr>
              <w:t>：</w:t>
            </w:r>
            <w:r>
              <w:rPr>
                <w:rFonts w:ascii="仿宋_GB2312" w:eastAsia="仿宋_GB2312" w:cs="仿宋_GB2312"/>
                <w:sz w:val="24"/>
                <w:szCs w:val="24"/>
              </w:rPr>
              <w:t>1）</w:t>
            </w:r>
            <w:r>
              <w:rPr>
                <w:rFonts w:ascii="仿宋_GB2312" w:eastAsia="仿宋_GB2312" w:cs="仿宋_GB2312" w:hint="eastAsia"/>
                <w:sz w:val="24"/>
                <w:szCs w:val="24"/>
              </w:rPr>
              <w:t>配电</w:t>
            </w:r>
            <w:r>
              <w:rPr>
                <w:rFonts w:ascii="仿宋_GB2312" w:eastAsia="仿宋_GB2312" w:cs="仿宋_GB2312"/>
                <w:sz w:val="24"/>
                <w:szCs w:val="24"/>
              </w:rPr>
              <w:t>柜操作地面应铺设绝缘胶垫；2）</w:t>
            </w:r>
            <w:r>
              <w:rPr>
                <w:rFonts w:ascii="仿宋_GB2312" w:eastAsia="仿宋_GB2312" w:cs="仿宋_GB2312" w:hint="eastAsia"/>
                <w:sz w:val="24"/>
                <w:szCs w:val="24"/>
              </w:rPr>
              <w:t>配电室应采取防雨水和防止小动物进入的措施；</w:t>
            </w:r>
            <w:r>
              <w:rPr>
                <w:rFonts w:ascii="仿宋_GB2312" w:eastAsia="仿宋_GB2312" w:cs="仿宋_GB2312"/>
                <w:sz w:val="24"/>
                <w:szCs w:val="24"/>
              </w:rPr>
              <w:t>3）</w:t>
            </w:r>
            <w:r>
              <w:rPr>
                <w:rFonts w:ascii="仿宋_GB2312" w:eastAsia="仿宋_GB2312" w:cs="仿宋_GB2312" w:hint="eastAsia"/>
                <w:sz w:val="24"/>
                <w:szCs w:val="24"/>
              </w:rPr>
              <w:t>配电室应配备绝缘手套</w:t>
            </w:r>
            <w:r w:rsidR="00A37AAE">
              <w:rPr>
                <w:rFonts w:ascii="仿宋_GB2312" w:eastAsia="仿宋_GB2312" w:cs="仿宋_GB2312" w:hint="eastAsia"/>
                <w:sz w:val="24"/>
                <w:szCs w:val="24"/>
              </w:rPr>
              <w:t>、</w:t>
            </w:r>
            <w:r>
              <w:rPr>
                <w:rFonts w:ascii="仿宋_GB2312" w:eastAsia="仿宋_GB2312" w:cs="仿宋_GB2312" w:hint="eastAsia"/>
                <w:sz w:val="24"/>
                <w:szCs w:val="24"/>
              </w:rPr>
              <w:t>绝缘靴等安全工具</w:t>
            </w:r>
            <w:r w:rsidR="00593F01">
              <w:rPr>
                <w:rFonts w:ascii="仿宋_GB2312" w:eastAsia="仿宋_GB2312" w:cs="仿宋_GB2312" w:hint="eastAsia"/>
                <w:sz w:val="24"/>
                <w:szCs w:val="24"/>
              </w:rPr>
              <w:t>；</w:t>
            </w:r>
          </w:p>
          <w:p w:rsidR="00AE6138" w:rsidRDefault="00AF272A">
            <w:pPr>
              <w:spacing w:line="320" w:lineRule="exact"/>
              <w:jc w:val="left"/>
              <w:rPr>
                <w:rFonts w:ascii="仿宋_GB2312" w:eastAsia="仿宋_GB2312" w:cs="仿宋_GB2312"/>
                <w:sz w:val="24"/>
                <w:szCs w:val="24"/>
              </w:rPr>
            </w:pPr>
            <w:r w:rsidRPr="001F0F53">
              <w:rPr>
                <w:rFonts w:ascii="仿宋_GB2312" w:eastAsia="仿宋_GB2312" w:cs="仿宋_GB2312" w:hint="eastAsia"/>
                <w:sz w:val="24"/>
                <w:szCs w:val="24"/>
              </w:rPr>
              <w:t>（</w:t>
            </w:r>
            <w:r w:rsidRPr="001F0F53">
              <w:rPr>
                <w:rFonts w:ascii="仿宋_GB2312" w:eastAsia="仿宋_GB2312" w:cs="仿宋_GB2312"/>
                <w:sz w:val="24"/>
                <w:szCs w:val="24"/>
              </w:rPr>
              <w:t>2</w:t>
            </w:r>
            <w:r w:rsidRPr="001F0F53">
              <w:rPr>
                <w:rFonts w:ascii="仿宋_GB2312" w:eastAsia="仿宋_GB2312" w:cs="仿宋_GB2312" w:hint="eastAsia"/>
                <w:sz w:val="24"/>
                <w:szCs w:val="24"/>
              </w:rPr>
              <w:t>）配电箱</w:t>
            </w:r>
            <w:r>
              <w:rPr>
                <w:rFonts w:ascii="仿宋_GB2312" w:eastAsia="仿宋_GB2312" w:cs="仿宋_GB2312" w:hint="eastAsia"/>
                <w:sz w:val="24"/>
                <w:szCs w:val="24"/>
              </w:rPr>
              <w:t>：</w:t>
            </w:r>
            <w:r>
              <w:rPr>
                <w:rFonts w:ascii="仿宋_GB2312" w:eastAsia="仿宋_GB2312" w:cs="仿宋_GB2312"/>
                <w:sz w:val="24"/>
                <w:szCs w:val="24"/>
              </w:rPr>
              <w:t>1）配电箱内应安装防止操作时触电的隔绝板</w:t>
            </w:r>
            <w:r>
              <w:rPr>
                <w:rFonts w:ascii="仿宋_GB2312" w:eastAsia="仿宋_GB2312" w:cs="仿宋_GB2312" w:hint="eastAsia"/>
                <w:sz w:val="24"/>
                <w:szCs w:val="24"/>
              </w:rPr>
              <w:t>；</w:t>
            </w:r>
            <w:r>
              <w:rPr>
                <w:rFonts w:ascii="仿宋_GB2312" w:eastAsia="仿宋_GB2312" w:cs="仿宋_GB2312"/>
                <w:sz w:val="24"/>
                <w:szCs w:val="24"/>
              </w:rPr>
              <w:t>2）箱门与箱体接地</w:t>
            </w:r>
            <w:r>
              <w:rPr>
                <w:rFonts w:ascii="仿宋_GB2312" w:eastAsia="仿宋_GB2312" w:cs="仿宋_GB2312" w:hint="eastAsia"/>
                <w:sz w:val="24"/>
                <w:szCs w:val="24"/>
              </w:rPr>
              <w:t>完</w:t>
            </w:r>
            <w:r>
              <w:rPr>
                <w:rFonts w:ascii="仿宋_GB2312" w:eastAsia="仿宋_GB2312" w:cs="仿宋_GB2312"/>
                <w:sz w:val="24"/>
                <w:szCs w:val="24"/>
              </w:rPr>
              <w:t>好</w:t>
            </w:r>
            <w:r>
              <w:rPr>
                <w:rFonts w:ascii="仿宋_GB2312" w:eastAsia="仿宋_GB2312" w:cs="仿宋_GB2312" w:hint="eastAsia"/>
                <w:sz w:val="24"/>
                <w:szCs w:val="24"/>
              </w:rPr>
              <w:t>；3）插座严禁固定在可燃材料上，配电箱等电器设备周围不得堆放可燃物品</w:t>
            </w:r>
            <w:r w:rsidR="00593F01">
              <w:rPr>
                <w:rFonts w:ascii="仿宋_GB2312" w:eastAsia="仿宋_GB2312" w:cs="仿宋_GB2312" w:hint="eastAsia"/>
                <w:sz w:val="24"/>
                <w:szCs w:val="24"/>
              </w:rPr>
              <w:t>；</w:t>
            </w:r>
          </w:p>
          <w:p w:rsidR="00AE6138" w:rsidRDefault="00AF272A">
            <w:pPr>
              <w:spacing w:line="320" w:lineRule="exact"/>
              <w:jc w:val="left"/>
              <w:rPr>
                <w:rFonts w:ascii="仿宋_GB2312" w:eastAsia="仿宋_GB2312" w:cs="仿宋_GB2312"/>
                <w:sz w:val="24"/>
                <w:szCs w:val="24"/>
              </w:rPr>
            </w:pPr>
            <w:r w:rsidRPr="001F0F53">
              <w:rPr>
                <w:rFonts w:ascii="仿宋_GB2312" w:eastAsia="仿宋_GB2312" w:cs="仿宋_GB2312" w:hint="eastAsia"/>
                <w:sz w:val="24"/>
                <w:szCs w:val="24"/>
              </w:rPr>
              <w:t>（</w:t>
            </w:r>
            <w:r w:rsidRPr="001F0F53">
              <w:rPr>
                <w:rFonts w:ascii="仿宋_GB2312" w:eastAsia="仿宋_GB2312" w:cs="仿宋_GB2312"/>
                <w:sz w:val="24"/>
                <w:szCs w:val="24"/>
              </w:rPr>
              <w:t>3</w:t>
            </w:r>
            <w:r w:rsidRPr="001F0F53">
              <w:rPr>
                <w:rFonts w:ascii="仿宋_GB2312" w:eastAsia="仿宋_GB2312" w:cs="仿宋_GB2312" w:hint="eastAsia"/>
                <w:sz w:val="24"/>
                <w:szCs w:val="24"/>
              </w:rPr>
              <w:t>）电气线路</w:t>
            </w:r>
            <w:r>
              <w:rPr>
                <w:rFonts w:ascii="仿宋_GB2312" w:eastAsia="仿宋_GB2312" w:cs="仿宋_GB2312" w:hint="eastAsia"/>
                <w:sz w:val="24"/>
                <w:szCs w:val="24"/>
              </w:rPr>
              <w:t>：</w:t>
            </w:r>
            <w:r>
              <w:rPr>
                <w:rFonts w:ascii="仿宋_GB2312" w:eastAsia="仿宋_GB2312" w:cs="仿宋_GB2312"/>
                <w:sz w:val="24"/>
                <w:szCs w:val="24"/>
              </w:rPr>
              <w:t>1）线路应穿管保护；2）</w:t>
            </w:r>
            <w:r>
              <w:rPr>
                <w:rFonts w:ascii="仿宋_GB2312" w:eastAsia="仿宋_GB2312" w:cs="仿宋_GB2312" w:hint="eastAsia"/>
                <w:sz w:val="24"/>
                <w:szCs w:val="24"/>
              </w:rPr>
              <w:t>配电线路应装设漏电保护和过负荷保护</w:t>
            </w:r>
            <w:r w:rsidR="00593F01">
              <w:rPr>
                <w:rFonts w:ascii="仿宋_GB2312" w:eastAsia="仿宋_GB2312" w:cs="仿宋_GB2312" w:hint="eastAsia"/>
                <w:sz w:val="24"/>
                <w:szCs w:val="24"/>
              </w:rPr>
              <w:t>。</w:t>
            </w:r>
          </w:p>
        </w:tc>
        <w:tc>
          <w:tcPr>
            <w:tcW w:w="925" w:type="dxa"/>
            <w:vAlign w:val="center"/>
          </w:tcPr>
          <w:p w:rsidR="00AE6138" w:rsidRDefault="00AE6138">
            <w:pPr>
              <w:spacing w:line="360" w:lineRule="auto"/>
              <w:rPr>
                <w:rFonts w:ascii="宋体" w:cs="Times New Roman"/>
                <w:sz w:val="24"/>
                <w:szCs w:val="24"/>
              </w:rPr>
            </w:pPr>
          </w:p>
        </w:tc>
      </w:tr>
      <w:tr w:rsidR="00AE6138">
        <w:trPr>
          <w:trHeight w:val="854"/>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hint="eastAsia"/>
                <w:sz w:val="24"/>
                <w:szCs w:val="24"/>
              </w:rPr>
              <w:t>8</w:t>
            </w:r>
          </w:p>
        </w:tc>
        <w:tc>
          <w:tcPr>
            <w:tcW w:w="2612" w:type="dxa"/>
            <w:vAlign w:val="center"/>
          </w:tcPr>
          <w:p w:rsidR="00AE6138" w:rsidRDefault="00AF272A" w:rsidP="00A37AAE">
            <w:pPr>
              <w:spacing w:line="320" w:lineRule="exact"/>
              <w:rPr>
                <w:rFonts w:ascii="仿宋_GB2312" w:eastAsia="仿宋_GB2312" w:cs="仿宋_GB2312"/>
                <w:sz w:val="24"/>
                <w:szCs w:val="24"/>
              </w:rPr>
            </w:pPr>
            <w:r>
              <w:rPr>
                <w:rFonts w:ascii="仿宋_GB2312" w:eastAsia="仿宋_GB2312" w:cs="仿宋_GB2312" w:hint="eastAsia"/>
                <w:sz w:val="24"/>
                <w:szCs w:val="24"/>
              </w:rPr>
              <w:t>危险化学品储存</w:t>
            </w:r>
            <w:r w:rsidR="00A37AAE">
              <w:rPr>
                <w:rFonts w:ascii="仿宋_GB2312" w:eastAsia="仿宋_GB2312" w:cs="仿宋_GB2312" w:hint="eastAsia"/>
                <w:sz w:val="24"/>
                <w:szCs w:val="24"/>
              </w:rPr>
              <w:t>管理</w:t>
            </w:r>
          </w:p>
        </w:tc>
        <w:tc>
          <w:tcPr>
            <w:tcW w:w="9433"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（1）危险化学品应存放在危险化学品储存柜内，</w:t>
            </w:r>
            <w:r w:rsidR="00A357B5">
              <w:rPr>
                <w:rFonts w:ascii="仿宋_GB2312" w:eastAsia="仿宋_GB2312" w:cs="仿宋_GB2312" w:hint="eastAsia"/>
                <w:sz w:val="24"/>
                <w:szCs w:val="24"/>
              </w:rPr>
              <w:t>储存柜存放易燃液体、可燃液体时打开排气孔，柜体内应连接上静电接地导线，</w:t>
            </w:r>
            <w:r w:rsidR="00A357B5">
              <w:rPr>
                <w:rFonts w:ascii="仿宋_GB2312" w:eastAsia="仿宋_GB2312" w:cs="仿宋_GB2312"/>
                <w:sz w:val="24"/>
                <w:szCs w:val="24"/>
              </w:rPr>
              <w:t>危化品</w:t>
            </w:r>
            <w:r>
              <w:rPr>
                <w:rFonts w:ascii="仿宋_GB2312" w:eastAsia="仿宋_GB2312" w:cs="仿宋_GB2312" w:hint="eastAsia"/>
                <w:sz w:val="24"/>
                <w:szCs w:val="24"/>
              </w:rPr>
              <w:t>使用量</w:t>
            </w:r>
            <w:r w:rsidR="00593F01">
              <w:rPr>
                <w:rFonts w:ascii="仿宋_GB2312" w:eastAsia="仿宋_GB2312" w:cs="仿宋_GB2312" w:hint="eastAsia"/>
                <w:sz w:val="24"/>
                <w:szCs w:val="24"/>
              </w:rPr>
              <w:t>较</w:t>
            </w:r>
            <w:r>
              <w:rPr>
                <w:rFonts w:ascii="仿宋_GB2312" w:eastAsia="仿宋_GB2312" w:cs="仿宋_GB2312" w:hint="eastAsia"/>
                <w:sz w:val="24"/>
                <w:szCs w:val="24"/>
              </w:rPr>
              <w:t>大的应</w:t>
            </w:r>
            <w:r w:rsidR="00593F01">
              <w:rPr>
                <w:rFonts w:ascii="仿宋_GB2312" w:eastAsia="仿宋_GB2312" w:cs="仿宋_GB2312" w:hint="eastAsia"/>
                <w:sz w:val="24"/>
                <w:szCs w:val="24"/>
              </w:rPr>
              <w:t>储存</w:t>
            </w:r>
            <w:r w:rsidR="00593F01">
              <w:rPr>
                <w:rFonts w:ascii="仿宋_GB2312" w:eastAsia="仿宋_GB2312" w:cs="仿宋_GB2312"/>
                <w:sz w:val="24"/>
                <w:szCs w:val="24"/>
              </w:rPr>
              <w:t>在</w:t>
            </w:r>
            <w:r w:rsidR="00A357B5">
              <w:rPr>
                <w:rFonts w:ascii="仿宋_GB2312" w:eastAsia="仿宋_GB2312" w:cs="仿宋_GB2312" w:hint="eastAsia"/>
                <w:sz w:val="24"/>
                <w:szCs w:val="24"/>
              </w:rPr>
              <w:t>危化品</w:t>
            </w:r>
            <w:r w:rsidR="00593F01">
              <w:rPr>
                <w:rFonts w:ascii="仿宋_GB2312" w:eastAsia="仿宋_GB2312" w:cs="仿宋_GB2312"/>
                <w:sz w:val="24"/>
                <w:szCs w:val="24"/>
              </w:rPr>
              <w:t>仓库内</w:t>
            </w:r>
            <w:r w:rsidR="00593F01">
              <w:rPr>
                <w:rFonts w:ascii="仿宋_GB2312" w:eastAsia="仿宋_GB2312" w:cs="仿宋_GB2312" w:hint="eastAsia"/>
                <w:sz w:val="24"/>
                <w:szCs w:val="24"/>
              </w:rPr>
              <w:t>且</w:t>
            </w:r>
            <w:r>
              <w:rPr>
                <w:rFonts w:ascii="仿宋_GB2312" w:eastAsia="仿宋_GB2312" w:cs="仿宋_GB2312" w:hint="eastAsia"/>
                <w:sz w:val="24"/>
                <w:szCs w:val="24"/>
              </w:rPr>
              <w:t>按照</w:t>
            </w:r>
            <w:r w:rsidR="00593F01">
              <w:rPr>
                <w:rFonts w:ascii="仿宋_GB2312" w:eastAsia="仿宋_GB2312" w:cs="仿宋_GB2312" w:hint="eastAsia"/>
                <w:sz w:val="24"/>
                <w:szCs w:val="24"/>
              </w:rPr>
              <w:t>危化品</w:t>
            </w:r>
            <w:r>
              <w:rPr>
                <w:rFonts w:ascii="仿宋_GB2312" w:eastAsia="仿宋_GB2312" w:cs="仿宋_GB2312" w:hint="eastAsia"/>
                <w:sz w:val="24"/>
                <w:szCs w:val="24"/>
              </w:rPr>
              <w:t>仓库的标准规范执行；</w:t>
            </w:r>
          </w:p>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（2）危险化学品储存、使用场所应提供安全技术说明书（MSDS）</w:t>
            </w:r>
          </w:p>
        </w:tc>
        <w:tc>
          <w:tcPr>
            <w:tcW w:w="925" w:type="dxa"/>
            <w:vAlign w:val="center"/>
          </w:tcPr>
          <w:p w:rsidR="00AE6138" w:rsidRDefault="00AE6138">
            <w:pPr>
              <w:spacing w:line="360" w:lineRule="auto"/>
              <w:rPr>
                <w:rFonts w:ascii="宋体" w:cs="Times New Roman"/>
                <w:sz w:val="24"/>
                <w:szCs w:val="24"/>
              </w:rPr>
            </w:pPr>
          </w:p>
        </w:tc>
      </w:tr>
      <w:tr w:rsidR="00AE6138">
        <w:trPr>
          <w:trHeight w:val="221"/>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hint="eastAsia"/>
                <w:sz w:val="24"/>
                <w:szCs w:val="24"/>
              </w:rPr>
              <w:t>9</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危险作业安全</w:t>
            </w:r>
          </w:p>
        </w:tc>
        <w:tc>
          <w:tcPr>
            <w:tcW w:w="9433" w:type="dxa"/>
            <w:vAlign w:val="center"/>
          </w:tcPr>
          <w:p w:rsidR="00AE6138" w:rsidRDefault="00AF272A">
            <w:pPr>
              <w:spacing w:line="320" w:lineRule="exact"/>
              <w:jc w:val="left"/>
              <w:rPr>
                <w:rFonts w:ascii="仿宋_GB2312" w:eastAsia="仿宋_GB2312" w:cs="仿宋_GB2312"/>
                <w:sz w:val="24"/>
                <w:szCs w:val="24"/>
              </w:rPr>
            </w:pPr>
            <w:r w:rsidRPr="001F0F53">
              <w:rPr>
                <w:rFonts w:ascii="仿宋_GB2312" w:eastAsia="仿宋_GB2312" w:cs="仿宋_GB2312" w:hint="eastAsia"/>
                <w:sz w:val="24"/>
                <w:szCs w:val="24"/>
              </w:rPr>
              <w:t>（</w:t>
            </w:r>
            <w:r w:rsidRPr="001F0F53">
              <w:rPr>
                <w:rFonts w:ascii="仿宋_GB2312" w:eastAsia="仿宋_GB2312" w:cs="仿宋_GB2312"/>
                <w:sz w:val="24"/>
                <w:szCs w:val="24"/>
              </w:rPr>
              <w:t>1</w:t>
            </w:r>
            <w:r w:rsidRPr="001F0F53">
              <w:rPr>
                <w:rFonts w:ascii="仿宋_GB2312" w:eastAsia="仿宋_GB2312" w:cs="仿宋_GB2312" w:hint="eastAsia"/>
                <w:sz w:val="24"/>
                <w:szCs w:val="24"/>
              </w:rPr>
              <w:t>）动火作业：</w:t>
            </w:r>
            <w:r>
              <w:rPr>
                <w:rFonts w:ascii="仿宋_GB2312" w:eastAsia="仿宋_GB2312" w:cs="仿宋_GB2312" w:hint="eastAsia"/>
                <w:sz w:val="24"/>
                <w:szCs w:val="24"/>
              </w:rPr>
              <w:t>1)动火作业实施作业审批制度；</w:t>
            </w:r>
            <w:r w:rsidR="00A357B5">
              <w:rPr>
                <w:rFonts w:ascii="仿宋_GB2312" w:eastAsia="仿宋_GB2312" w:cs="仿宋_GB2312" w:hint="eastAsia"/>
                <w:sz w:val="24"/>
                <w:szCs w:val="24"/>
              </w:rPr>
              <w:t>2）定期对工业气瓶、电焊机等动火作业装置进行检查，确保安全可靠；3）对从事动火作业相关人员进行专项安全培训；</w:t>
            </w:r>
          </w:p>
          <w:p w:rsidR="00AE6138" w:rsidRDefault="00AF272A">
            <w:pPr>
              <w:spacing w:line="320" w:lineRule="exact"/>
              <w:jc w:val="left"/>
              <w:rPr>
                <w:rFonts w:ascii="仿宋_GB2312" w:eastAsia="仿宋_GB2312" w:cs="仿宋_GB2312"/>
                <w:sz w:val="24"/>
                <w:szCs w:val="24"/>
              </w:rPr>
            </w:pPr>
            <w:r w:rsidRPr="001F0F53">
              <w:rPr>
                <w:rFonts w:ascii="仿宋_GB2312" w:eastAsia="仿宋_GB2312" w:cs="仿宋_GB2312" w:hint="eastAsia"/>
                <w:sz w:val="24"/>
                <w:szCs w:val="24"/>
              </w:rPr>
              <w:t>（</w:t>
            </w:r>
            <w:r w:rsidRPr="001F0F53">
              <w:rPr>
                <w:rFonts w:ascii="仿宋_GB2312" w:eastAsia="仿宋_GB2312" w:cs="仿宋_GB2312"/>
                <w:sz w:val="24"/>
                <w:szCs w:val="24"/>
              </w:rPr>
              <w:t>2</w:t>
            </w:r>
            <w:r w:rsidRPr="001F0F53">
              <w:rPr>
                <w:rFonts w:ascii="仿宋_GB2312" w:eastAsia="仿宋_GB2312" w:cs="仿宋_GB2312" w:hint="eastAsia"/>
                <w:sz w:val="24"/>
                <w:szCs w:val="24"/>
              </w:rPr>
              <w:t>）临时用电作业：</w:t>
            </w:r>
            <w:r>
              <w:rPr>
                <w:rFonts w:ascii="仿宋_GB2312" w:eastAsia="仿宋_GB2312" w:cs="仿宋_GB2312" w:hint="eastAsia"/>
                <w:sz w:val="24"/>
                <w:szCs w:val="24"/>
              </w:rPr>
              <w:t>1）临时用电线路、设备安全可靠；2）临时用电确保“一机、一闸、一漏、一箱”（一台用电设备单独使用一个电箱，电箱里必须有一个闸刀开关和一个漏电保护器共同组成的安全保护用电电路）。</w:t>
            </w:r>
          </w:p>
        </w:tc>
        <w:tc>
          <w:tcPr>
            <w:tcW w:w="925" w:type="dxa"/>
            <w:vAlign w:val="center"/>
          </w:tcPr>
          <w:p w:rsidR="00AE6138" w:rsidRDefault="00AE6138">
            <w:pPr>
              <w:spacing w:line="360" w:lineRule="auto"/>
              <w:rPr>
                <w:rFonts w:ascii="宋体" w:cs="Times New Roman"/>
                <w:sz w:val="24"/>
                <w:szCs w:val="24"/>
              </w:rPr>
            </w:pPr>
          </w:p>
        </w:tc>
      </w:tr>
      <w:tr w:rsidR="00AE6138">
        <w:trPr>
          <w:trHeight w:val="416"/>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sz w:val="24"/>
                <w:szCs w:val="24"/>
              </w:rPr>
              <w:t>1</w:t>
            </w:r>
            <w:r>
              <w:rPr>
                <w:rFonts w:ascii="仿宋_GB2312" w:eastAsia="仿宋_GB2312" w:hAnsi="黑体" w:cs="仿宋_GB2312" w:hint="eastAsia"/>
                <w:sz w:val="24"/>
                <w:szCs w:val="24"/>
              </w:rPr>
              <w:t>0</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仓库安全</w:t>
            </w:r>
          </w:p>
        </w:tc>
        <w:tc>
          <w:tcPr>
            <w:tcW w:w="9433" w:type="dxa"/>
            <w:vAlign w:val="center"/>
          </w:tcPr>
          <w:p w:rsidR="00AE6138" w:rsidRDefault="00AF272A">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（1）可燃材料仓库应使用低温照明灯具；</w:t>
            </w:r>
          </w:p>
          <w:p w:rsidR="00AE6138" w:rsidRDefault="00AF272A">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）仓库内不得从事生产、加工活动；</w:t>
            </w:r>
          </w:p>
          <w:p w:rsidR="00AE6138" w:rsidRDefault="00AF272A">
            <w:pPr>
              <w:spacing w:line="320" w:lineRule="exact"/>
              <w:jc w:val="left"/>
              <w:rPr>
                <w:rFonts w:ascii="仿宋_GB2312" w:eastAsia="仿宋_GB2312" w:cs="仿宋_GB2312"/>
                <w:b/>
                <w:sz w:val="24"/>
                <w:szCs w:val="24"/>
              </w:rPr>
            </w:pPr>
            <w:r>
              <w:rPr>
                <w:rFonts w:ascii="仿宋_GB2312" w:eastAsia="仿宋_GB2312" w:cs="仿宋_GB2312" w:hint="eastAsia"/>
                <w:sz w:val="24"/>
                <w:szCs w:val="24"/>
              </w:rPr>
              <w:t>（</w:t>
            </w:r>
            <w:r>
              <w:rPr>
                <w:rFonts w:ascii="仿宋_GB2312" w:eastAsia="仿宋_GB2312" w:cs="仿宋_GB2312"/>
                <w:sz w:val="24"/>
                <w:szCs w:val="24"/>
              </w:rPr>
              <w:t>3</w:t>
            </w:r>
            <w:r>
              <w:rPr>
                <w:rFonts w:ascii="仿宋_GB2312" w:eastAsia="仿宋_GB2312" w:cs="仿宋_GB2312" w:hint="eastAsia"/>
                <w:sz w:val="24"/>
                <w:szCs w:val="24"/>
              </w:rPr>
              <w:t>）仓库通道保证通畅，配备消防器材。</w:t>
            </w:r>
          </w:p>
        </w:tc>
        <w:tc>
          <w:tcPr>
            <w:tcW w:w="925" w:type="dxa"/>
            <w:vAlign w:val="center"/>
          </w:tcPr>
          <w:p w:rsidR="00AE6138" w:rsidRDefault="00AE6138">
            <w:pPr>
              <w:spacing w:line="360" w:lineRule="auto"/>
              <w:rPr>
                <w:rFonts w:ascii="宋体" w:cs="Times New Roman"/>
                <w:sz w:val="24"/>
                <w:szCs w:val="24"/>
              </w:rPr>
            </w:pPr>
          </w:p>
        </w:tc>
      </w:tr>
      <w:tr w:rsidR="00AE6138">
        <w:trPr>
          <w:trHeight w:val="854"/>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hint="eastAsia"/>
                <w:sz w:val="24"/>
                <w:szCs w:val="24"/>
              </w:rPr>
              <w:lastRenderedPageBreak/>
              <w:t>11</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安全疏散</w:t>
            </w:r>
          </w:p>
        </w:tc>
        <w:tc>
          <w:tcPr>
            <w:tcW w:w="9433" w:type="dxa"/>
            <w:vAlign w:val="center"/>
          </w:tcPr>
          <w:p w:rsidR="00AE6138" w:rsidRDefault="00AF272A">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疏散通道保持畅通，安全出口严禁上锁。</w:t>
            </w:r>
          </w:p>
        </w:tc>
        <w:tc>
          <w:tcPr>
            <w:tcW w:w="925" w:type="dxa"/>
            <w:vAlign w:val="center"/>
          </w:tcPr>
          <w:p w:rsidR="00AE6138" w:rsidRDefault="00AE6138">
            <w:pPr>
              <w:spacing w:line="360" w:lineRule="auto"/>
              <w:rPr>
                <w:rFonts w:ascii="宋体" w:cs="Times New Roman"/>
                <w:sz w:val="24"/>
                <w:szCs w:val="24"/>
              </w:rPr>
            </w:pPr>
          </w:p>
        </w:tc>
      </w:tr>
      <w:tr w:rsidR="00AE6138">
        <w:trPr>
          <w:trHeight w:val="532"/>
          <w:jc w:val="center"/>
        </w:trPr>
        <w:tc>
          <w:tcPr>
            <w:tcW w:w="708" w:type="dxa"/>
            <w:vAlign w:val="center"/>
          </w:tcPr>
          <w:p w:rsidR="00AE6138" w:rsidRDefault="00AF272A">
            <w:pPr>
              <w:spacing w:line="360" w:lineRule="auto"/>
              <w:jc w:val="center"/>
              <w:rPr>
                <w:rFonts w:ascii="仿宋_GB2312" w:eastAsia="仿宋_GB2312" w:hAnsi="黑体" w:cs="仿宋_GB2312"/>
                <w:sz w:val="24"/>
                <w:szCs w:val="24"/>
              </w:rPr>
            </w:pPr>
            <w:r>
              <w:rPr>
                <w:rFonts w:ascii="仿宋_GB2312" w:eastAsia="仿宋_GB2312" w:hAnsi="黑体" w:cs="仿宋_GB2312"/>
                <w:color w:val="000000"/>
                <w:sz w:val="24"/>
                <w:szCs w:val="24"/>
              </w:rPr>
              <w:t>1</w:t>
            </w:r>
            <w:r>
              <w:rPr>
                <w:rFonts w:ascii="仿宋_GB2312" w:eastAsia="仿宋_GB2312" w:hAnsi="黑体" w:cs="仿宋_GB2312" w:hint="eastAsia"/>
                <w:color w:val="000000"/>
                <w:sz w:val="24"/>
                <w:szCs w:val="24"/>
              </w:rPr>
              <w:t>2</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安全警示标识</w:t>
            </w:r>
          </w:p>
        </w:tc>
        <w:tc>
          <w:tcPr>
            <w:tcW w:w="9433" w:type="dxa"/>
            <w:vAlign w:val="center"/>
          </w:tcPr>
          <w:p w:rsidR="00AE6138" w:rsidRDefault="00AF272A">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企业应在有较大危险因素的机械设备、高温场所、电气设施、危化品使用储存场所设置安全警示标识。</w:t>
            </w:r>
          </w:p>
        </w:tc>
        <w:tc>
          <w:tcPr>
            <w:tcW w:w="925" w:type="dxa"/>
            <w:vAlign w:val="center"/>
          </w:tcPr>
          <w:p w:rsidR="00AE6138" w:rsidRDefault="00AE6138">
            <w:pPr>
              <w:spacing w:line="360" w:lineRule="auto"/>
              <w:rPr>
                <w:rFonts w:ascii="宋体" w:cs="Times New Roman"/>
                <w:sz w:val="24"/>
                <w:szCs w:val="24"/>
              </w:rPr>
            </w:pPr>
          </w:p>
        </w:tc>
      </w:tr>
      <w:tr w:rsidR="00AE6138">
        <w:trPr>
          <w:trHeight w:val="554"/>
          <w:jc w:val="center"/>
        </w:trPr>
        <w:tc>
          <w:tcPr>
            <w:tcW w:w="708" w:type="dxa"/>
            <w:vAlign w:val="center"/>
          </w:tcPr>
          <w:p w:rsidR="00AE6138" w:rsidRDefault="00AF272A">
            <w:pPr>
              <w:spacing w:line="360" w:lineRule="auto"/>
              <w:jc w:val="center"/>
              <w:rPr>
                <w:rFonts w:ascii="仿宋_GB2312" w:eastAsia="仿宋_GB2312" w:hAnsi="黑体" w:cs="仿宋_GB2312"/>
                <w:color w:val="000000"/>
                <w:sz w:val="24"/>
                <w:szCs w:val="24"/>
              </w:rPr>
            </w:pPr>
            <w:r>
              <w:rPr>
                <w:rFonts w:ascii="仿宋_GB2312" w:eastAsia="仿宋_GB2312" w:hAnsi="黑体" w:cs="仿宋_GB2312" w:hint="eastAsia"/>
                <w:color w:val="000000"/>
                <w:sz w:val="24"/>
                <w:szCs w:val="24"/>
              </w:rPr>
              <w:t>13</w:t>
            </w:r>
          </w:p>
        </w:tc>
        <w:tc>
          <w:tcPr>
            <w:tcW w:w="2612" w:type="dxa"/>
            <w:vAlign w:val="center"/>
          </w:tcPr>
          <w:p w:rsidR="00AE6138" w:rsidRDefault="00AF272A">
            <w:pPr>
              <w:spacing w:line="320" w:lineRule="exact"/>
              <w:rPr>
                <w:rFonts w:ascii="仿宋_GB2312" w:eastAsia="仿宋_GB2312" w:cs="仿宋_GB2312"/>
                <w:sz w:val="24"/>
                <w:szCs w:val="24"/>
              </w:rPr>
            </w:pPr>
            <w:r>
              <w:rPr>
                <w:rFonts w:ascii="仿宋_GB2312" w:eastAsia="仿宋_GB2312" w:cs="仿宋_GB2312" w:hint="eastAsia"/>
                <w:sz w:val="24"/>
                <w:szCs w:val="24"/>
              </w:rPr>
              <w:t>应急预案和应急演练</w:t>
            </w:r>
          </w:p>
        </w:tc>
        <w:tc>
          <w:tcPr>
            <w:tcW w:w="9433" w:type="dxa"/>
            <w:vAlign w:val="center"/>
          </w:tcPr>
          <w:p w:rsidR="00AE6138" w:rsidRDefault="00AF272A">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（1）企业应当制定有操作性的应急救援预案，每半年至少组织一次事故应急救援演练；</w:t>
            </w:r>
          </w:p>
          <w:p w:rsidR="00AE6138" w:rsidRDefault="00AF272A">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（2）按应急预案要求配备应急物资，确保有效、可用。</w:t>
            </w:r>
          </w:p>
        </w:tc>
        <w:tc>
          <w:tcPr>
            <w:tcW w:w="925" w:type="dxa"/>
            <w:vAlign w:val="center"/>
          </w:tcPr>
          <w:p w:rsidR="00AE6138" w:rsidRDefault="00AE6138">
            <w:pPr>
              <w:spacing w:line="360" w:lineRule="auto"/>
              <w:rPr>
                <w:rFonts w:ascii="宋体" w:cs="Times New Roman"/>
              </w:rPr>
            </w:pPr>
          </w:p>
        </w:tc>
      </w:tr>
    </w:tbl>
    <w:p w:rsidR="00AE6138" w:rsidRDefault="00AE6138">
      <w:pPr>
        <w:widowControl/>
        <w:jc w:val="left"/>
        <w:rPr>
          <w:rFonts w:ascii="宋体" w:cs="Times New Roman"/>
        </w:rPr>
      </w:pPr>
    </w:p>
    <w:sectPr w:rsidR="00AE6138">
      <w:pgSz w:w="16838" w:h="11906" w:orient="landscape"/>
      <w:pgMar w:top="1800" w:right="1440" w:bottom="851"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42B" w:rsidRDefault="00EA142B" w:rsidP="00593F01">
      <w:r>
        <w:separator/>
      </w:r>
    </w:p>
  </w:endnote>
  <w:endnote w:type="continuationSeparator" w:id="0">
    <w:p w:rsidR="00EA142B" w:rsidRDefault="00EA142B" w:rsidP="00593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42B" w:rsidRDefault="00EA142B" w:rsidP="00593F01">
      <w:r>
        <w:separator/>
      </w:r>
    </w:p>
  </w:footnote>
  <w:footnote w:type="continuationSeparator" w:id="0">
    <w:p w:rsidR="00EA142B" w:rsidRDefault="00EA142B" w:rsidP="00593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8406D"/>
    <w:multiLevelType w:val="multilevel"/>
    <w:tmpl w:val="0BB8406D"/>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trackRevisions/>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B30"/>
    <w:rsid w:val="00000085"/>
    <w:rsid w:val="00002273"/>
    <w:rsid w:val="00005AA2"/>
    <w:rsid w:val="00020EB0"/>
    <w:rsid w:val="0002292D"/>
    <w:rsid w:val="00031EA3"/>
    <w:rsid w:val="00040FC5"/>
    <w:rsid w:val="00054688"/>
    <w:rsid w:val="00062C9A"/>
    <w:rsid w:val="000740EB"/>
    <w:rsid w:val="000872EC"/>
    <w:rsid w:val="000952EA"/>
    <w:rsid w:val="000A09B6"/>
    <w:rsid w:val="000B128C"/>
    <w:rsid w:val="000B1CA6"/>
    <w:rsid w:val="000C5026"/>
    <w:rsid w:val="000E070D"/>
    <w:rsid w:val="00113A41"/>
    <w:rsid w:val="00115F4E"/>
    <w:rsid w:val="00125485"/>
    <w:rsid w:val="00161015"/>
    <w:rsid w:val="001638DF"/>
    <w:rsid w:val="00167027"/>
    <w:rsid w:val="001705E3"/>
    <w:rsid w:val="0017596A"/>
    <w:rsid w:val="00181975"/>
    <w:rsid w:val="00193CF4"/>
    <w:rsid w:val="001A26EE"/>
    <w:rsid w:val="001B7913"/>
    <w:rsid w:val="001C2638"/>
    <w:rsid w:val="001C4636"/>
    <w:rsid w:val="001C5DD3"/>
    <w:rsid w:val="001D2CCD"/>
    <w:rsid w:val="001F027F"/>
    <w:rsid w:val="001F0F53"/>
    <w:rsid w:val="001F1AA4"/>
    <w:rsid w:val="001F4DCB"/>
    <w:rsid w:val="001F7862"/>
    <w:rsid w:val="00214CA7"/>
    <w:rsid w:val="00224D40"/>
    <w:rsid w:val="00226F2A"/>
    <w:rsid w:val="00231556"/>
    <w:rsid w:val="00234B2A"/>
    <w:rsid w:val="0024106B"/>
    <w:rsid w:val="002462A9"/>
    <w:rsid w:val="00257E9B"/>
    <w:rsid w:val="00266F80"/>
    <w:rsid w:val="0026789C"/>
    <w:rsid w:val="002748A9"/>
    <w:rsid w:val="002A00EA"/>
    <w:rsid w:val="002A697D"/>
    <w:rsid w:val="002C6EA8"/>
    <w:rsid w:val="002C7D7E"/>
    <w:rsid w:val="002D25BD"/>
    <w:rsid w:val="002E1E92"/>
    <w:rsid w:val="002E2DC3"/>
    <w:rsid w:val="002E3604"/>
    <w:rsid w:val="002F10D5"/>
    <w:rsid w:val="002F21DA"/>
    <w:rsid w:val="002F4681"/>
    <w:rsid w:val="00302E3D"/>
    <w:rsid w:val="003043D7"/>
    <w:rsid w:val="00304B98"/>
    <w:rsid w:val="003247A2"/>
    <w:rsid w:val="00331B88"/>
    <w:rsid w:val="00331E04"/>
    <w:rsid w:val="00336E6C"/>
    <w:rsid w:val="00343E92"/>
    <w:rsid w:val="003463DE"/>
    <w:rsid w:val="00354F2F"/>
    <w:rsid w:val="003555E2"/>
    <w:rsid w:val="00374002"/>
    <w:rsid w:val="00380CC4"/>
    <w:rsid w:val="0038101D"/>
    <w:rsid w:val="003823E2"/>
    <w:rsid w:val="00395321"/>
    <w:rsid w:val="0039680D"/>
    <w:rsid w:val="003A761B"/>
    <w:rsid w:val="003B4CD2"/>
    <w:rsid w:val="003B5013"/>
    <w:rsid w:val="003C18A5"/>
    <w:rsid w:val="003D1C5A"/>
    <w:rsid w:val="003E0A32"/>
    <w:rsid w:val="003E4910"/>
    <w:rsid w:val="003F6B30"/>
    <w:rsid w:val="00401706"/>
    <w:rsid w:val="00404E3B"/>
    <w:rsid w:val="004058E4"/>
    <w:rsid w:val="00411735"/>
    <w:rsid w:val="004155A8"/>
    <w:rsid w:val="0042017F"/>
    <w:rsid w:val="00427183"/>
    <w:rsid w:val="00427FB3"/>
    <w:rsid w:val="00433FCA"/>
    <w:rsid w:val="00434B79"/>
    <w:rsid w:val="0043742A"/>
    <w:rsid w:val="00437529"/>
    <w:rsid w:val="00444D0C"/>
    <w:rsid w:val="00456BC4"/>
    <w:rsid w:val="004611C6"/>
    <w:rsid w:val="00466462"/>
    <w:rsid w:val="00492898"/>
    <w:rsid w:val="004A4854"/>
    <w:rsid w:val="004A4BFC"/>
    <w:rsid w:val="004A5647"/>
    <w:rsid w:val="004C300A"/>
    <w:rsid w:val="004F10ED"/>
    <w:rsid w:val="004F1876"/>
    <w:rsid w:val="004F65EF"/>
    <w:rsid w:val="00502914"/>
    <w:rsid w:val="005060A5"/>
    <w:rsid w:val="005078BD"/>
    <w:rsid w:val="00513CC8"/>
    <w:rsid w:val="005157F0"/>
    <w:rsid w:val="00536DB4"/>
    <w:rsid w:val="0053729F"/>
    <w:rsid w:val="00541376"/>
    <w:rsid w:val="005414E0"/>
    <w:rsid w:val="005424F6"/>
    <w:rsid w:val="00550A8B"/>
    <w:rsid w:val="005578E1"/>
    <w:rsid w:val="00560ECB"/>
    <w:rsid w:val="0057328D"/>
    <w:rsid w:val="00573F54"/>
    <w:rsid w:val="00580690"/>
    <w:rsid w:val="00585CB2"/>
    <w:rsid w:val="00586339"/>
    <w:rsid w:val="005870D9"/>
    <w:rsid w:val="00590A59"/>
    <w:rsid w:val="00591799"/>
    <w:rsid w:val="00593F01"/>
    <w:rsid w:val="005B3A34"/>
    <w:rsid w:val="005C0CB6"/>
    <w:rsid w:val="005D0D27"/>
    <w:rsid w:val="005D1A25"/>
    <w:rsid w:val="005D57A7"/>
    <w:rsid w:val="005E16FB"/>
    <w:rsid w:val="005E44D4"/>
    <w:rsid w:val="005F1562"/>
    <w:rsid w:val="005F2CA8"/>
    <w:rsid w:val="005F363E"/>
    <w:rsid w:val="005F50C7"/>
    <w:rsid w:val="005F70B7"/>
    <w:rsid w:val="006061A0"/>
    <w:rsid w:val="006076AC"/>
    <w:rsid w:val="00616903"/>
    <w:rsid w:val="00633180"/>
    <w:rsid w:val="00637C32"/>
    <w:rsid w:val="00642333"/>
    <w:rsid w:val="006429C0"/>
    <w:rsid w:val="00644CCE"/>
    <w:rsid w:val="00645A33"/>
    <w:rsid w:val="00654609"/>
    <w:rsid w:val="00663A6B"/>
    <w:rsid w:val="006741E5"/>
    <w:rsid w:val="00675958"/>
    <w:rsid w:val="00683EF3"/>
    <w:rsid w:val="00692EAD"/>
    <w:rsid w:val="0069675A"/>
    <w:rsid w:val="006A5FEC"/>
    <w:rsid w:val="006B15C7"/>
    <w:rsid w:val="006B1837"/>
    <w:rsid w:val="006D468A"/>
    <w:rsid w:val="006E08D5"/>
    <w:rsid w:val="006E4362"/>
    <w:rsid w:val="006F2E92"/>
    <w:rsid w:val="007037ED"/>
    <w:rsid w:val="00705F90"/>
    <w:rsid w:val="00707AC6"/>
    <w:rsid w:val="00716DD3"/>
    <w:rsid w:val="00720352"/>
    <w:rsid w:val="007203E3"/>
    <w:rsid w:val="007217EF"/>
    <w:rsid w:val="00721AA0"/>
    <w:rsid w:val="00724F4F"/>
    <w:rsid w:val="007313F1"/>
    <w:rsid w:val="00731FD5"/>
    <w:rsid w:val="00736E53"/>
    <w:rsid w:val="00751DB4"/>
    <w:rsid w:val="00754EF8"/>
    <w:rsid w:val="00764EF5"/>
    <w:rsid w:val="0076754B"/>
    <w:rsid w:val="007929F4"/>
    <w:rsid w:val="0079489A"/>
    <w:rsid w:val="00795970"/>
    <w:rsid w:val="007B3ACF"/>
    <w:rsid w:val="007B49B9"/>
    <w:rsid w:val="007B5C40"/>
    <w:rsid w:val="007B7988"/>
    <w:rsid w:val="007E71FA"/>
    <w:rsid w:val="007E7D18"/>
    <w:rsid w:val="008040A9"/>
    <w:rsid w:val="00812002"/>
    <w:rsid w:val="00812BE8"/>
    <w:rsid w:val="00847A86"/>
    <w:rsid w:val="008558DB"/>
    <w:rsid w:val="00860F01"/>
    <w:rsid w:val="00861395"/>
    <w:rsid w:val="00874110"/>
    <w:rsid w:val="00877920"/>
    <w:rsid w:val="00882CB9"/>
    <w:rsid w:val="00892323"/>
    <w:rsid w:val="008A2BC5"/>
    <w:rsid w:val="008A41DD"/>
    <w:rsid w:val="008E0BA5"/>
    <w:rsid w:val="008E4CF6"/>
    <w:rsid w:val="008E6391"/>
    <w:rsid w:val="008F3EC0"/>
    <w:rsid w:val="008F51F3"/>
    <w:rsid w:val="008F73D0"/>
    <w:rsid w:val="008F7CAB"/>
    <w:rsid w:val="009070DE"/>
    <w:rsid w:val="009127B9"/>
    <w:rsid w:val="00922573"/>
    <w:rsid w:val="00925DCB"/>
    <w:rsid w:val="0094097C"/>
    <w:rsid w:val="00944077"/>
    <w:rsid w:val="0096536D"/>
    <w:rsid w:val="0096579D"/>
    <w:rsid w:val="009674C3"/>
    <w:rsid w:val="00975463"/>
    <w:rsid w:val="00977017"/>
    <w:rsid w:val="00987029"/>
    <w:rsid w:val="00993BE8"/>
    <w:rsid w:val="009C6965"/>
    <w:rsid w:val="009D0011"/>
    <w:rsid w:val="009D2590"/>
    <w:rsid w:val="009D4EAB"/>
    <w:rsid w:val="009F100B"/>
    <w:rsid w:val="00A03ED7"/>
    <w:rsid w:val="00A07D03"/>
    <w:rsid w:val="00A11936"/>
    <w:rsid w:val="00A32AF6"/>
    <w:rsid w:val="00A357B5"/>
    <w:rsid w:val="00A37AAE"/>
    <w:rsid w:val="00A41066"/>
    <w:rsid w:val="00A46052"/>
    <w:rsid w:val="00A4766C"/>
    <w:rsid w:val="00A55695"/>
    <w:rsid w:val="00A612CC"/>
    <w:rsid w:val="00A63A1F"/>
    <w:rsid w:val="00A646F0"/>
    <w:rsid w:val="00A73372"/>
    <w:rsid w:val="00A8292B"/>
    <w:rsid w:val="00A85147"/>
    <w:rsid w:val="00A93DFF"/>
    <w:rsid w:val="00AA2365"/>
    <w:rsid w:val="00AA23EB"/>
    <w:rsid w:val="00AA24F7"/>
    <w:rsid w:val="00AA2C0A"/>
    <w:rsid w:val="00AA34D6"/>
    <w:rsid w:val="00AB2EC5"/>
    <w:rsid w:val="00AB3103"/>
    <w:rsid w:val="00AB7171"/>
    <w:rsid w:val="00AC46C3"/>
    <w:rsid w:val="00AC542F"/>
    <w:rsid w:val="00AD2223"/>
    <w:rsid w:val="00AD6261"/>
    <w:rsid w:val="00AE6138"/>
    <w:rsid w:val="00AE7D90"/>
    <w:rsid w:val="00AF272A"/>
    <w:rsid w:val="00AF336E"/>
    <w:rsid w:val="00AF4341"/>
    <w:rsid w:val="00AF555F"/>
    <w:rsid w:val="00B03506"/>
    <w:rsid w:val="00B30DDD"/>
    <w:rsid w:val="00B320E6"/>
    <w:rsid w:val="00B472E1"/>
    <w:rsid w:val="00B5252B"/>
    <w:rsid w:val="00B628B2"/>
    <w:rsid w:val="00B76D94"/>
    <w:rsid w:val="00B832CB"/>
    <w:rsid w:val="00B96436"/>
    <w:rsid w:val="00B975E7"/>
    <w:rsid w:val="00B97DBE"/>
    <w:rsid w:val="00BA1DE1"/>
    <w:rsid w:val="00BA6F3E"/>
    <w:rsid w:val="00BB4D2D"/>
    <w:rsid w:val="00BC1EC0"/>
    <w:rsid w:val="00BC25BC"/>
    <w:rsid w:val="00BC36FB"/>
    <w:rsid w:val="00BC7E63"/>
    <w:rsid w:val="00BE08BF"/>
    <w:rsid w:val="00BE123A"/>
    <w:rsid w:val="00BE5033"/>
    <w:rsid w:val="00BF37A8"/>
    <w:rsid w:val="00C01476"/>
    <w:rsid w:val="00C054D8"/>
    <w:rsid w:val="00C10C54"/>
    <w:rsid w:val="00C20D94"/>
    <w:rsid w:val="00C37308"/>
    <w:rsid w:val="00C40AD8"/>
    <w:rsid w:val="00C53D50"/>
    <w:rsid w:val="00C563F3"/>
    <w:rsid w:val="00C6108E"/>
    <w:rsid w:val="00C67E94"/>
    <w:rsid w:val="00CA2E1A"/>
    <w:rsid w:val="00CB3BBA"/>
    <w:rsid w:val="00CC3FC1"/>
    <w:rsid w:val="00CC498F"/>
    <w:rsid w:val="00CC4B28"/>
    <w:rsid w:val="00CD19D4"/>
    <w:rsid w:val="00CE5308"/>
    <w:rsid w:val="00CF41BE"/>
    <w:rsid w:val="00D13B0F"/>
    <w:rsid w:val="00D14097"/>
    <w:rsid w:val="00D16D5C"/>
    <w:rsid w:val="00D20A4E"/>
    <w:rsid w:val="00D30E53"/>
    <w:rsid w:val="00D323B8"/>
    <w:rsid w:val="00D33A92"/>
    <w:rsid w:val="00D35C22"/>
    <w:rsid w:val="00D36280"/>
    <w:rsid w:val="00D36FFD"/>
    <w:rsid w:val="00D37740"/>
    <w:rsid w:val="00D37E40"/>
    <w:rsid w:val="00D44ED0"/>
    <w:rsid w:val="00D4770A"/>
    <w:rsid w:val="00D504DE"/>
    <w:rsid w:val="00D73806"/>
    <w:rsid w:val="00D75385"/>
    <w:rsid w:val="00D90BD1"/>
    <w:rsid w:val="00DB065A"/>
    <w:rsid w:val="00DB6C1A"/>
    <w:rsid w:val="00DC2D69"/>
    <w:rsid w:val="00DE14BC"/>
    <w:rsid w:val="00DE58E1"/>
    <w:rsid w:val="00DF3BE5"/>
    <w:rsid w:val="00DF69F7"/>
    <w:rsid w:val="00E07EDF"/>
    <w:rsid w:val="00E143F9"/>
    <w:rsid w:val="00E22BFB"/>
    <w:rsid w:val="00E26C8F"/>
    <w:rsid w:val="00E36551"/>
    <w:rsid w:val="00E40D0F"/>
    <w:rsid w:val="00E44A42"/>
    <w:rsid w:val="00E50943"/>
    <w:rsid w:val="00E51949"/>
    <w:rsid w:val="00E519AD"/>
    <w:rsid w:val="00E54DF4"/>
    <w:rsid w:val="00E82260"/>
    <w:rsid w:val="00E844B2"/>
    <w:rsid w:val="00E94274"/>
    <w:rsid w:val="00EA142B"/>
    <w:rsid w:val="00EB3CB0"/>
    <w:rsid w:val="00EB4293"/>
    <w:rsid w:val="00EC206F"/>
    <w:rsid w:val="00ED1DB4"/>
    <w:rsid w:val="00EE11A0"/>
    <w:rsid w:val="00EE2F8D"/>
    <w:rsid w:val="00EF4B97"/>
    <w:rsid w:val="00F04D93"/>
    <w:rsid w:val="00F06EA2"/>
    <w:rsid w:val="00F07291"/>
    <w:rsid w:val="00F138F1"/>
    <w:rsid w:val="00F32576"/>
    <w:rsid w:val="00F36D8A"/>
    <w:rsid w:val="00F40AC7"/>
    <w:rsid w:val="00F42A1E"/>
    <w:rsid w:val="00F474BD"/>
    <w:rsid w:val="00F54348"/>
    <w:rsid w:val="00F54A9B"/>
    <w:rsid w:val="00F55CEB"/>
    <w:rsid w:val="00F638E3"/>
    <w:rsid w:val="00F708DF"/>
    <w:rsid w:val="00F70F1A"/>
    <w:rsid w:val="00F73371"/>
    <w:rsid w:val="00F80083"/>
    <w:rsid w:val="00F90DB3"/>
    <w:rsid w:val="00FA2C36"/>
    <w:rsid w:val="00FA365B"/>
    <w:rsid w:val="00FB20A9"/>
    <w:rsid w:val="00FC3D46"/>
    <w:rsid w:val="00FD2EB0"/>
    <w:rsid w:val="00FD4266"/>
    <w:rsid w:val="00FE12CB"/>
    <w:rsid w:val="00FF384F"/>
    <w:rsid w:val="03EB38B1"/>
    <w:rsid w:val="074934F9"/>
    <w:rsid w:val="07A27413"/>
    <w:rsid w:val="0AB04AA5"/>
    <w:rsid w:val="0CDF237A"/>
    <w:rsid w:val="0F203D4E"/>
    <w:rsid w:val="133F71C2"/>
    <w:rsid w:val="148818EB"/>
    <w:rsid w:val="16A51512"/>
    <w:rsid w:val="1A37348D"/>
    <w:rsid w:val="1A9F1629"/>
    <w:rsid w:val="1AF905EF"/>
    <w:rsid w:val="20BD4832"/>
    <w:rsid w:val="22F86EEC"/>
    <w:rsid w:val="25A0225E"/>
    <w:rsid w:val="284778F2"/>
    <w:rsid w:val="2A6233DD"/>
    <w:rsid w:val="2ABC41B4"/>
    <w:rsid w:val="2B565B9C"/>
    <w:rsid w:val="2F131D2B"/>
    <w:rsid w:val="30027B54"/>
    <w:rsid w:val="30ED4E10"/>
    <w:rsid w:val="32AC2ADA"/>
    <w:rsid w:val="33BF582B"/>
    <w:rsid w:val="34916872"/>
    <w:rsid w:val="34A912CB"/>
    <w:rsid w:val="359A4096"/>
    <w:rsid w:val="3838701A"/>
    <w:rsid w:val="3BB563D7"/>
    <w:rsid w:val="3DAB0108"/>
    <w:rsid w:val="45B343D8"/>
    <w:rsid w:val="46B64E24"/>
    <w:rsid w:val="47CA3276"/>
    <w:rsid w:val="496E38CF"/>
    <w:rsid w:val="4A562726"/>
    <w:rsid w:val="4AD76DCA"/>
    <w:rsid w:val="4ED73AC6"/>
    <w:rsid w:val="4FF602F7"/>
    <w:rsid w:val="5217706A"/>
    <w:rsid w:val="59485543"/>
    <w:rsid w:val="5DA7030F"/>
    <w:rsid w:val="5DC1468B"/>
    <w:rsid w:val="5E1A1256"/>
    <w:rsid w:val="5ED67248"/>
    <w:rsid w:val="601146F4"/>
    <w:rsid w:val="618C04AD"/>
    <w:rsid w:val="61994D99"/>
    <w:rsid w:val="61CF09DD"/>
    <w:rsid w:val="63B76F89"/>
    <w:rsid w:val="63D85351"/>
    <w:rsid w:val="641170E9"/>
    <w:rsid w:val="645E6D2A"/>
    <w:rsid w:val="64D26D47"/>
    <w:rsid w:val="68E678F4"/>
    <w:rsid w:val="69A95076"/>
    <w:rsid w:val="6B31650B"/>
    <w:rsid w:val="73A15A14"/>
    <w:rsid w:val="74BD4C03"/>
    <w:rsid w:val="74DE0AD1"/>
    <w:rsid w:val="78661632"/>
    <w:rsid w:val="79B64064"/>
    <w:rsid w:val="7ACD6696"/>
    <w:rsid w:val="7AEB45B4"/>
    <w:rsid w:val="7DA60FE3"/>
    <w:rsid w:val="7DC17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503D762-CF3E-49D5-8459-89FAFA12C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iPriority="0"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rFonts w:ascii="Times New Roman" w:hAnsi="Times New Roman" w:cs="Times New Roman"/>
      <w:kern w:val="0"/>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paragraph" w:styleId="a7">
    <w:name w:val="Normal (Web)"/>
    <w:basedOn w:val="a"/>
    <w:uiPriority w:val="99"/>
    <w:qFormat/>
    <w:pPr>
      <w:spacing w:beforeAutospacing="1" w:afterAutospacing="1"/>
      <w:jc w:val="left"/>
    </w:pPr>
    <w:rPr>
      <w:kern w:val="0"/>
      <w:sz w:val="24"/>
      <w:szCs w:val="24"/>
    </w:rPr>
  </w:style>
  <w:style w:type="paragraph" w:styleId="a8">
    <w:name w:val="annotation subject"/>
    <w:basedOn w:val="a3"/>
    <w:next w:val="a3"/>
    <w:link w:val="Char3"/>
    <w:uiPriority w:val="99"/>
    <w:semiHidden/>
    <w:unhideWhenUsed/>
    <w:qFormat/>
    <w:rPr>
      <w:b/>
      <w:bCs/>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99"/>
    <w:qFormat/>
    <w:locked/>
    <w:rPr>
      <w:b/>
      <w:bCs/>
    </w:rPr>
  </w:style>
  <w:style w:type="character" w:styleId="ab">
    <w:name w:val="Hyperlink"/>
    <w:uiPriority w:val="99"/>
    <w:semiHidden/>
    <w:qFormat/>
    <w:rPr>
      <w:color w:val="0000FF"/>
      <w:u w:val="single"/>
    </w:rPr>
  </w:style>
  <w:style w:type="character" w:styleId="ac">
    <w:name w:val="annotation reference"/>
    <w:basedOn w:val="a0"/>
    <w:qFormat/>
    <w:rPr>
      <w:sz w:val="21"/>
      <w:szCs w:val="21"/>
    </w:rPr>
  </w:style>
  <w:style w:type="character" w:customStyle="1" w:styleId="Char1">
    <w:name w:val="页脚 Char"/>
    <w:link w:val="a5"/>
    <w:uiPriority w:val="99"/>
    <w:qFormat/>
    <w:locked/>
    <w:rPr>
      <w:sz w:val="18"/>
      <w:szCs w:val="18"/>
    </w:rPr>
  </w:style>
  <w:style w:type="character" w:customStyle="1" w:styleId="Char2">
    <w:name w:val="页眉 Char"/>
    <w:link w:val="a6"/>
    <w:uiPriority w:val="99"/>
    <w:qFormat/>
    <w:locked/>
    <w:rPr>
      <w:sz w:val="18"/>
      <w:szCs w:val="18"/>
    </w:rPr>
  </w:style>
  <w:style w:type="paragraph" w:styleId="ad">
    <w:name w:val="List Paragraph"/>
    <w:basedOn w:val="a"/>
    <w:uiPriority w:val="34"/>
    <w:qFormat/>
    <w:pPr>
      <w:ind w:firstLineChars="200" w:firstLine="420"/>
    </w:pPr>
  </w:style>
  <w:style w:type="character" w:customStyle="1" w:styleId="apple-converted-space">
    <w:name w:val="apple-converted-space"/>
    <w:basedOn w:val="a0"/>
    <w:uiPriority w:val="99"/>
    <w:qFormat/>
  </w:style>
  <w:style w:type="paragraph" w:customStyle="1" w:styleId="Char4">
    <w:name w:val="Char"/>
    <w:basedOn w:val="a"/>
    <w:uiPriority w:val="99"/>
    <w:qFormat/>
    <w:rPr>
      <w:rFonts w:ascii="Times New Roman" w:hAnsi="Times New Roman" w:cs="Times New Roman"/>
      <w:sz w:val="24"/>
      <w:szCs w:val="24"/>
    </w:rPr>
  </w:style>
  <w:style w:type="character" w:customStyle="1" w:styleId="Char0">
    <w:name w:val="批注框文本 Char"/>
    <w:basedOn w:val="a0"/>
    <w:link w:val="a4"/>
    <w:uiPriority w:val="99"/>
    <w:semiHidden/>
    <w:qFormat/>
    <w:rPr>
      <w:rFonts w:ascii="Calibri" w:hAnsi="Calibri" w:cs="Calibri"/>
      <w:kern w:val="2"/>
      <w:sz w:val="18"/>
      <w:szCs w:val="18"/>
    </w:rPr>
  </w:style>
  <w:style w:type="character" w:customStyle="1" w:styleId="Char">
    <w:name w:val="批注文字 Char"/>
    <w:basedOn w:val="a0"/>
    <w:link w:val="a3"/>
    <w:qFormat/>
    <w:rPr>
      <w:rFonts w:ascii="Calibri" w:hAnsi="Calibri" w:cs="Calibri"/>
      <w:kern w:val="2"/>
      <w:sz w:val="21"/>
      <w:szCs w:val="21"/>
    </w:rPr>
  </w:style>
  <w:style w:type="character" w:customStyle="1" w:styleId="Char3">
    <w:name w:val="批注主题 Char"/>
    <w:basedOn w:val="Char"/>
    <w:link w:val="a8"/>
    <w:uiPriority w:val="99"/>
    <w:semiHidden/>
    <w:qFormat/>
    <w:rPr>
      <w:rFonts w:ascii="Calibri" w:hAnsi="Calibri" w:cs="Calibri"/>
      <w:b/>
      <w:bCs/>
      <w:kern w:val="2"/>
      <w:sz w:val="21"/>
      <w:szCs w:val="21"/>
    </w:rPr>
  </w:style>
  <w:style w:type="paragraph" w:customStyle="1" w:styleId="1">
    <w:name w:val="修订1"/>
    <w:hidden/>
    <w:uiPriority w:val="99"/>
    <w:semiHidden/>
    <w:qFormat/>
    <w:rPr>
      <w:rFonts w:ascii="Calibri"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251</Words>
  <Characters>1436</Characters>
  <Application>Microsoft Office Word</Application>
  <DocSecurity>0</DocSecurity>
  <Lines>11</Lines>
  <Paragraphs>3</Paragraphs>
  <ScaleCrop>false</ScaleCrop>
  <Company>P R C</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Administrator</dc:creator>
  <cp:lastModifiedBy>Administrator</cp:lastModifiedBy>
  <cp:revision>14</cp:revision>
  <dcterms:created xsi:type="dcterms:W3CDTF">2019-03-04T03:56:00Z</dcterms:created>
  <dcterms:modified xsi:type="dcterms:W3CDTF">2019-03-07T01:40:00Z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