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698" w:rsidRDefault="006A6FB8">
      <w:pPr>
        <w:spacing w:line="560" w:lineRule="exact"/>
        <w:jc w:val="center"/>
        <w:rPr>
          <w:rFonts w:ascii="方正小标宋简体" w:eastAsia="方正小标宋简体" w:hAnsi="Times New Roman" w:cs="Times New Roman"/>
          <w:b/>
          <w:bCs/>
          <w:sz w:val="44"/>
          <w:szCs w:val="44"/>
        </w:rPr>
      </w:pPr>
      <w:r>
        <w:rPr>
          <w:rFonts w:ascii="方正小标宋简体" w:eastAsia="方正小标宋简体" w:hAnsi="Times New Roman" w:cs="方正小标宋简体" w:hint="eastAsia"/>
          <w:b/>
          <w:bCs/>
          <w:sz w:val="44"/>
          <w:szCs w:val="44"/>
        </w:rPr>
        <w:t>深圳市工贸企业安全生产三级标准化创建标准重点清单（试行）</w:t>
      </w:r>
    </w:p>
    <w:p w:rsidR="00C93698" w:rsidRDefault="006A6FB8">
      <w:pPr>
        <w:spacing w:line="560" w:lineRule="exact"/>
        <w:jc w:val="center"/>
        <w:rPr>
          <w:rFonts w:ascii="方正小标宋简体" w:eastAsia="方正小标宋简体" w:hAnsi="Times New Roman"/>
          <w:b/>
          <w:bCs/>
          <w:sz w:val="44"/>
          <w:szCs w:val="44"/>
        </w:rPr>
      </w:pPr>
      <w:r>
        <w:rPr>
          <w:rFonts w:ascii="方正小标宋简体" w:eastAsia="方正小标宋简体" w:hAnsi="Times New Roman" w:hint="eastAsia"/>
          <w:b/>
          <w:bCs/>
          <w:sz w:val="44"/>
          <w:szCs w:val="44"/>
        </w:rPr>
        <w:t>（塑料制品企业）</w:t>
      </w:r>
    </w:p>
    <w:p w:rsidR="00C93698" w:rsidRDefault="006A6FB8">
      <w:pPr>
        <w:spacing w:line="560" w:lineRule="exact"/>
        <w:jc w:val="center"/>
        <w:rPr>
          <w:rFonts w:ascii="黑体" w:eastAsia="黑体" w:hAnsi="黑体"/>
          <w:b/>
          <w:bCs/>
          <w:sz w:val="32"/>
          <w:szCs w:val="32"/>
        </w:rPr>
      </w:pPr>
      <w:r>
        <w:rPr>
          <w:rFonts w:ascii="黑体" w:eastAsia="黑体" w:hAnsi="黑体" w:hint="eastAsia"/>
          <w:b/>
          <w:bCs/>
          <w:sz w:val="32"/>
          <w:szCs w:val="32"/>
        </w:rPr>
        <w:t>考 评 说 明</w:t>
      </w:r>
    </w:p>
    <w:p w:rsidR="00C93698" w:rsidRDefault="006A6FB8">
      <w:pPr>
        <w:pStyle w:val="ae"/>
        <w:numPr>
          <w:ilvl w:val="0"/>
          <w:numId w:val="1"/>
        </w:numPr>
        <w:tabs>
          <w:tab w:val="left" w:pos="851"/>
        </w:tabs>
        <w:spacing w:line="560" w:lineRule="exact"/>
        <w:ind w:firstLineChars="0"/>
        <w:rPr>
          <w:rFonts w:ascii="仿宋_GB2312" w:eastAsia="仿宋_GB2312"/>
          <w:sz w:val="24"/>
          <w:szCs w:val="24"/>
        </w:rPr>
      </w:pPr>
      <w:r>
        <w:rPr>
          <w:rFonts w:ascii="仿宋_GB2312" w:eastAsia="仿宋_GB2312" w:hint="eastAsia"/>
          <w:sz w:val="24"/>
          <w:szCs w:val="24"/>
        </w:rPr>
        <w:t>本评审清单适用于深圳市工贸企业中塑料制品企业开展三级安全生产标准化创建工作。</w:t>
      </w:r>
    </w:p>
    <w:p w:rsidR="00C93698" w:rsidRDefault="006A6FB8">
      <w:pPr>
        <w:pStyle w:val="ae"/>
        <w:numPr>
          <w:ilvl w:val="0"/>
          <w:numId w:val="1"/>
        </w:numPr>
        <w:tabs>
          <w:tab w:val="left" w:pos="851"/>
        </w:tabs>
        <w:spacing w:line="560" w:lineRule="exact"/>
        <w:ind w:firstLineChars="0"/>
        <w:jc w:val="left"/>
        <w:rPr>
          <w:rFonts w:ascii="仿宋_GB2312" w:eastAsia="仿宋_GB2312"/>
          <w:sz w:val="24"/>
          <w:szCs w:val="24"/>
        </w:rPr>
      </w:pPr>
      <w:r>
        <w:rPr>
          <w:rFonts w:ascii="仿宋_GB2312" w:eastAsia="仿宋_GB2312" w:hint="eastAsia"/>
          <w:sz w:val="24"/>
          <w:szCs w:val="24"/>
        </w:rPr>
        <w:t>企业符合以下评审事项，视为三级安全生产标准化达标；任意一条评审事项不符合不予以达标。</w:t>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635"/>
        <w:gridCol w:w="10093"/>
        <w:gridCol w:w="876"/>
      </w:tblGrid>
      <w:tr w:rsidR="00C93698">
        <w:trPr>
          <w:trHeight w:val="696"/>
          <w:tblHeader/>
          <w:jc w:val="center"/>
        </w:trPr>
        <w:tc>
          <w:tcPr>
            <w:tcW w:w="708" w:type="dxa"/>
            <w:vAlign w:val="center"/>
          </w:tcPr>
          <w:p w:rsidR="00C93698" w:rsidRDefault="006A6FB8">
            <w:pPr>
              <w:spacing w:line="320" w:lineRule="exact"/>
              <w:jc w:val="center"/>
              <w:rPr>
                <w:rFonts w:ascii="黑体" w:eastAsia="黑体" w:hAnsi="黑体" w:cs="Times New Roman"/>
                <w:sz w:val="24"/>
                <w:szCs w:val="24"/>
              </w:rPr>
            </w:pPr>
            <w:r>
              <w:rPr>
                <w:rFonts w:ascii="黑体" w:eastAsia="黑体" w:hAnsi="黑体" w:cs="黑体" w:hint="eastAsia"/>
                <w:sz w:val="24"/>
                <w:szCs w:val="24"/>
              </w:rPr>
              <w:t>序号</w:t>
            </w:r>
          </w:p>
        </w:tc>
        <w:tc>
          <w:tcPr>
            <w:tcW w:w="2635" w:type="dxa"/>
            <w:vAlign w:val="center"/>
          </w:tcPr>
          <w:p w:rsidR="00C93698" w:rsidRDefault="006A6FB8">
            <w:pPr>
              <w:spacing w:line="320" w:lineRule="exact"/>
              <w:jc w:val="center"/>
              <w:rPr>
                <w:rFonts w:ascii="黑体" w:eastAsia="黑体" w:hAnsi="黑体" w:cs="Times New Roman"/>
                <w:sz w:val="24"/>
                <w:szCs w:val="24"/>
              </w:rPr>
            </w:pPr>
            <w:r>
              <w:rPr>
                <w:rFonts w:ascii="黑体" w:eastAsia="黑体" w:hAnsi="黑体" w:cs="黑体" w:hint="eastAsia"/>
                <w:sz w:val="24"/>
                <w:szCs w:val="24"/>
              </w:rPr>
              <w:t>评审事项</w:t>
            </w:r>
          </w:p>
        </w:tc>
        <w:tc>
          <w:tcPr>
            <w:tcW w:w="10093" w:type="dxa"/>
            <w:vAlign w:val="center"/>
          </w:tcPr>
          <w:p w:rsidR="00C93698" w:rsidRDefault="006A6FB8">
            <w:pPr>
              <w:spacing w:line="320" w:lineRule="exact"/>
              <w:jc w:val="center"/>
              <w:rPr>
                <w:rFonts w:ascii="黑体" w:eastAsia="黑体" w:hAnsi="黑体" w:cs="Times New Roman"/>
                <w:sz w:val="24"/>
                <w:szCs w:val="24"/>
              </w:rPr>
            </w:pPr>
            <w:r>
              <w:rPr>
                <w:rFonts w:ascii="黑体" w:eastAsia="黑体" w:hAnsi="黑体" w:cs="黑体" w:hint="eastAsia"/>
                <w:sz w:val="24"/>
                <w:szCs w:val="24"/>
              </w:rPr>
              <w:t>评审内容</w:t>
            </w:r>
          </w:p>
        </w:tc>
        <w:tc>
          <w:tcPr>
            <w:tcW w:w="876" w:type="dxa"/>
            <w:vAlign w:val="center"/>
          </w:tcPr>
          <w:p w:rsidR="00C93698" w:rsidRDefault="006A6FB8">
            <w:pPr>
              <w:spacing w:line="320" w:lineRule="exact"/>
              <w:jc w:val="center"/>
              <w:rPr>
                <w:rFonts w:ascii="黑体" w:eastAsia="黑体" w:hAnsi="黑体" w:cs="Times New Roman"/>
                <w:sz w:val="24"/>
                <w:szCs w:val="24"/>
              </w:rPr>
            </w:pPr>
            <w:r>
              <w:rPr>
                <w:rFonts w:ascii="黑体" w:eastAsia="黑体" w:hAnsi="黑体" w:cs="黑体" w:hint="eastAsia"/>
                <w:sz w:val="24"/>
                <w:szCs w:val="24"/>
              </w:rPr>
              <w:t>是否</w:t>
            </w:r>
            <w:r>
              <w:rPr>
                <w:rFonts w:ascii="黑体" w:eastAsia="黑体" w:hAnsi="黑体" w:cs="黑体"/>
                <w:sz w:val="24"/>
                <w:szCs w:val="24"/>
              </w:rPr>
              <w:t>符合</w:t>
            </w:r>
          </w:p>
        </w:tc>
      </w:tr>
      <w:tr w:rsidR="00C93698">
        <w:trPr>
          <w:trHeight w:val="2015"/>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1</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安全生产责任制、规章制度、安全生产主体责任承诺制度</w:t>
            </w:r>
          </w:p>
        </w:tc>
        <w:tc>
          <w:tcPr>
            <w:tcW w:w="10093"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1）企业</w:t>
            </w:r>
            <w:r>
              <w:rPr>
                <w:rFonts w:ascii="仿宋_GB2312" w:eastAsia="仿宋_GB2312" w:cs="仿宋_GB2312" w:hint="eastAsia"/>
                <w:sz w:val="24"/>
                <w:szCs w:val="24"/>
              </w:rPr>
              <w:t>应实行全员安全生产责任制，明确各岗位从业人员的安全生产责任范围和考核标准等内容；</w:t>
            </w:r>
          </w:p>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企业应建立安全生产教育培训制度、风险辨识和分级管控制度、隐患排查治理制度、设备设施管理制度、施工和检维修安全管理制度、危险化学品管理制度等安全生产规章制度</w:t>
            </w:r>
            <w:r w:rsidR="009A73D8">
              <w:rPr>
                <w:rFonts w:ascii="仿宋_GB2312" w:eastAsia="仿宋_GB2312" w:cs="仿宋_GB2312" w:hint="eastAsia"/>
                <w:sz w:val="24"/>
                <w:szCs w:val="24"/>
              </w:rPr>
              <w:t>，</w:t>
            </w:r>
            <w:r w:rsidR="009A73D8">
              <w:rPr>
                <w:rFonts w:ascii="仿宋_GB2312" w:eastAsia="仿宋_GB2312" w:cs="仿宋_GB2312"/>
                <w:sz w:val="24"/>
                <w:szCs w:val="24"/>
              </w:rPr>
              <w:t>制定</w:t>
            </w:r>
            <w:r>
              <w:rPr>
                <w:rFonts w:ascii="仿宋_GB2312" w:eastAsia="仿宋_GB2312" w:cs="仿宋_GB2312" w:hint="eastAsia"/>
                <w:sz w:val="24"/>
                <w:szCs w:val="24"/>
              </w:rPr>
              <w:t>注塑机等风险较大设备安全操作规程；</w:t>
            </w:r>
          </w:p>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3）企业主要负责人必须书面承诺严格遵守安全生产相关法律法规，并向社会公示，接受社会监督。</w:t>
            </w:r>
          </w:p>
        </w:tc>
        <w:tc>
          <w:tcPr>
            <w:tcW w:w="876" w:type="dxa"/>
            <w:vAlign w:val="center"/>
          </w:tcPr>
          <w:p w:rsidR="00C93698" w:rsidRDefault="00C93698">
            <w:pPr>
              <w:spacing w:line="320" w:lineRule="exact"/>
              <w:rPr>
                <w:rFonts w:ascii="宋体" w:cs="Times New Roman"/>
                <w:sz w:val="24"/>
                <w:szCs w:val="24"/>
              </w:rPr>
            </w:pPr>
          </w:p>
        </w:tc>
      </w:tr>
      <w:tr w:rsidR="00C93698">
        <w:trPr>
          <w:trHeight w:val="935"/>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2</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安全管理机构或安全生产管理人员</w:t>
            </w:r>
          </w:p>
        </w:tc>
        <w:tc>
          <w:tcPr>
            <w:tcW w:w="10093"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企业应依法设立安全生产管理机构，或配备安全生产管理人员。</w:t>
            </w:r>
          </w:p>
        </w:tc>
        <w:tc>
          <w:tcPr>
            <w:tcW w:w="876" w:type="dxa"/>
            <w:vAlign w:val="center"/>
          </w:tcPr>
          <w:p w:rsidR="00C93698" w:rsidRDefault="00C93698">
            <w:pPr>
              <w:spacing w:line="320" w:lineRule="exact"/>
              <w:rPr>
                <w:rFonts w:ascii="宋体" w:cs="Times New Roman"/>
                <w:sz w:val="24"/>
                <w:szCs w:val="24"/>
              </w:rPr>
            </w:pPr>
          </w:p>
        </w:tc>
      </w:tr>
      <w:tr w:rsidR="00C93698">
        <w:trPr>
          <w:trHeight w:val="415"/>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3</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安全生产教育和培训</w:t>
            </w:r>
          </w:p>
        </w:tc>
        <w:tc>
          <w:tcPr>
            <w:tcW w:w="10093"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（1）企业应每年至少组织一次全员安全生产教育和培训；</w:t>
            </w:r>
          </w:p>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（2）企业应对新进从业人员、离岗复工人员等进行安全生产教育和培训，未经培训合格不得上岗作业；</w:t>
            </w:r>
          </w:p>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）企业应对涉及危险化学品</w:t>
            </w:r>
            <w:r w:rsidR="009A73D8">
              <w:rPr>
                <w:rFonts w:ascii="仿宋_GB2312" w:eastAsia="仿宋_GB2312" w:cs="仿宋_GB2312" w:hint="eastAsia"/>
                <w:sz w:val="24"/>
                <w:szCs w:val="24"/>
              </w:rPr>
              <w:t>作业</w:t>
            </w:r>
            <w:r w:rsidR="009A73D8">
              <w:rPr>
                <w:rFonts w:ascii="仿宋_GB2312" w:eastAsia="仿宋_GB2312" w:cs="仿宋_GB2312"/>
                <w:sz w:val="24"/>
                <w:szCs w:val="24"/>
              </w:rPr>
              <w:t>、</w:t>
            </w:r>
            <w:r>
              <w:rPr>
                <w:rFonts w:ascii="仿宋_GB2312" w:eastAsia="仿宋_GB2312" w:cs="仿宋_GB2312" w:hint="eastAsia"/>
                <w:sz w:val="24"/>
                <w:szCs w:val="24"/>
              </w:rPr>
              <w:t>有限空间岗位作业人员进行专项安全培训。</w:t>
            </w:r>
          </w:p>
        </w:tc>
        <w:tc>
          <w:tcPr>
            <w:tcW w:w="876" w:type="dxa"/>
            <w:vAlign w:val="center"/>
          </w:tcPr>
          <w:p w:rsidR="00C93698" w:rsidRDefault="00C93698">
            <w:pPr>
              <w:spacing w:line="320" w:lineRule="exact"/>
              <w:rPr>
                <w:rFonts w:ascii="宋体" w:cs="Times New Roman"/>
                <w:sz w:val="24"/>
                <w:szCs w:val="24"/>
              </w:rPr>
            </w:pPr>
          </w:p>
        </w:tc>
      </w:tr>
      <w:tr w:rsidR="00C93698">
        <w:trPr>
          <w:trHeight w:val="415"/>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4</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风险辨识和分级管控</w:t>
            </w:r>
          </w:p>
        </w:tc>
        <w:tc>
          <w:tcPr>
            <w:tcW w:w="10093"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（1）企业应当辨识本企业的安全风险，明确风险管控层级,制定风险管控措施，建立安全风险清单；</w:t>
            </w:r>
          </w:p>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）企业应设置岗位安全风险告知卡。</w:t>
            </w:r>
          </w:p>
        </w:tc>
        <w:tc>
          <w:tcPr>
            <w:tcW w:w="876" w:type="dxa"/>
            <w:vAlign w:val="center"/>
          </w:tcPr>
          <w:p w:rsidR="00C93698" w:rsidRDefault="00C93698">
            <w:pPr>
              <w:spacing w:line="320" w:lineRule="exact"/>
              <w:rPr>
                <w:rFonts w:ascii="宋体" w:cs="Times New Roman"/>
                <w:sz w:val="24"/>
                <w:szCs w:val="24"/>
              </w:rPr>
            </w:pPr>
          </w:p>
        </w:tc>
      </w:tr>
      <w:tr w:rsidR="00C93698">
        <w:trPr>
          <w:trHeight w:val="318"/>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lastRenderedPageBreak/>
              <w:t>5</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隐患排查和治理</w:t>
            </w:r>
          </w:p>
        </w:tc>
        <w:tc>
          <w:tcPr>
            <w:tcW w:w="10093"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（1）企业应定期开展事故隐患排查，及时消除隐患，建立隐患管理台帐；</w:t>
            </w:r>
          </w:p>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）企业主要负责人每半年至少组织一次全面隐患排查。</w:t>
            </w:r>
          </w:p>
        </w:tc>
        <w:tc>
          <w:tcPr>
            <w:tcW w:w="876" w:type="dxa"/>
            <w:vAlign w:val="center"/>
          </w:tcPr>
          <w:p w:rsidR="00C93698" w:rsidRDefault="00C93698">
            <w:pPr>
              <w:spacing w:line="320" w:lineRule="exact"/>
              <w:rPr>
                <w:rFonts w:ascii="宋体" w:cs="Times New Roman"/>
                <w:sz w:val="24"/>
                <w:szCs w:val="24"/>
              </w:rPr>
            </w:pPr>
          </w:p>
        </w:tc>
      </w:tr>
      <w:tr w:rsidR="00C93698">
        <w:trPr>
          <w:trHeight w:val="842"/>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6</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设备设施安全</w:t>
            </w:r>
          </w:p>
        </w:tc>
        <w:tc>
          <w:tcPr>
            <w:tcW w:w="10093" w:type="dxa"/>
            <w:vAlign w:val="center"/>
          </w:tcPr>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设备设施传动部位应设置安全防护装置，成型机、冲剪压设备等大型设备操作面应设置急停开关；</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设备应采取接地保护、防漏电保护、防过载保护等措施，电气线路无破损；</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成型机（注塑机）安全装置（门联锁、急停、光栅等）完好有效；</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4）</w:t>
            </w:r>
            <w:r>
              <w:rPr>
                <w:rFonts w:ascii="仿宋_GB2312" w:eastAsia="仿宋_GB2312" w:cs="仿宋_GB2312" w:hint="eastAsia"/>
                <w:sz w:val="24"/>
                <w:szCs w:val="24"/>
              </w:rPr>
              <w:t>成型机高温区域（如射嘴）应设置固定式防护装置或隔热装置；</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5）</w:t>
            </w:r>
            <w:r>
              <w:rPr>
                <w:rFonts w:ascii="仿宋_GB2312" w:eastAsia="仿宋_GB2312" w:cs="仿宋_GB2312" w:hint="eastAsia"/>
                <w:sz w:val="24"/>
                <w:szCs w:val="24"/>
              </w:rPr>
              <w:t>成型机取料采用机械手时，机台下方的活动区域应设置防护栏等防护措施，防止机械手伤人；</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6）</w:t>
            </w:r>
            <w:r>
              <w:rPr>
                <w:rFonts w:ascii="仿宋_GB2312" w:eastAsia="仿宋_GB2312" w:cs="仿宋_GB2312" w:hint="eastAsia"/>
                <w:sz w:val="24"/>
                <w:szCs w:val="24"/>
              </w:rPr>
              <w:t>模具维修设备中工件、刀具等的部位应设置安全防护装置；</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7）</w:t>
            </w:r>
            <w:r>
              <w:rPr>
                <w:rFonts w:ascii="仿宋_GB2312" w:eastAsia="仿宋_GB2312" w:cs="仿宋_GB2312" w:hint="eastAsia"/>
                <w:sz w:val="24"/>
                <w:szCs w:val="24"/>
              </w:rPr>
              <w:t>冲、剪、压机械设备应有双手按钮、光电保护等安全防护装置，设备离合器动作灵敏、可靠，无连冲，脚踏开关有完备的防护罩且防滑；</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8）</w:t>
            </w:r>
            <w:r>
              <w:rPr>
                <w:rFonts w:ascii="仿宋_GB2312" w:eastAsia="仿宋_GB2312" w:cs="仿宋_GB2312" w:hint="eastAsia"/>
                <w:sz w:val="24"/>
                <w:szCs w:val="24"/>
              </w:rPr>
              <w:t>烘料机加热装置与通风装置连锁（防止干烧）,且加热装置应设置超温断电、过负荷保护等安全保护装置。</w:t>
            </w:r>
          </w:p>
        </w:tc>
        <w:tc>
          <w:tcPr>
            <w:tcW w:w="876" w:type="dxa"/>
            <w:vAlign w:val="center"/>
          </w:tcPr>
          <w:p w:rsidR="00C93698" w:rsidRDefault="00C93698">
            <w:pPr>
              <w:spacing w:line="320" w:lineRule="exact"/>
              <w:rPr>
                <w:rFonts w:ascii="宋体" w:cs="Times New Roman"/>
                <w:sz w:val="24"/>
                <w:szCs w:val="24"/>
              </w:rPr>
            </w:pPr>
          </w:p>
        </w:tc>
      </w:tr>
      <w:tr w:rsidR="00C93698">
        <w:trPr>
          <w:trHeight w:val="842"/>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7</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用电安全</w:t>
            </w:r>
          </w:p>
        </w:tc>
        <w:tc>
          <w:tcPr>
            <w:tcW w:w="10093" w:type="dxa"/>
            <w:vAlign w:val="center"/>
          </w:tcPr>
          <w:p w:rsidR="00C93698" w:rsidRDefault="006A6FB8">
            <w:pPr>
              <w:spacing w:line="320" w:lineRule="exact"/>
              <w:jc w:val="left"/>
              <w:rPr>
                <w:rFonts w:ascii="仿宋_GB2312" w:eastAsia="仿宋_GB2312" w:cs="仿宋_GB2312"/>
                <w:sz w:val="24"/>
                <w:szCs w:val="24"/>
              </w:rPr>
            </w:pPr>
            <w:r w:rsidRPr="004B6C3D">
              <w:rPr>
                <w:rFonts w:ascii="仿宋_GB2312" w:eastAsia="仿宋_GB2312" w:cs="仿宋_GB2312" w:hint="eastAsia"/>
                <w:sz w:val="24"/>
                <w:szCs w:val="24"/>
              </w:rPr>
              <w:t>（</w:t>
            </w:r>
            <w:r w:rsidRPr="004B6C3D">
              <w:rPr>
                <w:rFonts w:ascii="仿宋_GB2312" w:eastAsia="仿宋_GB2312" w:cs="仿宋_GB2312"/>
                <w:sz w:val="24"/>
                <w:szCs w:val="24"/>
              </w:rPr>
              <w:t>1</w:t>
            </w:r>
            <w:r w:rsidRPr="004B6C3D">
              <w:rPr>
                <w:rFonts w:ascii="仿宋_GB2312" w:eastAsia="仿宋_GB2312" w:cs="仿宋_GB2312" w:hint="eastAsia"/>
                <w:sz w:val="24"/>
                <w:szCs w:val="24"/>
              </w:rPr>
              <w:t>）配电室</w:t>
            </w: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配电</w:t>
            </w:r>
            <w:r>
              <w:rPr>
                <w:rFonts w:ascii="仿宋_GB2312" w:eastAsia="仿宋_GB2312" w:cs="仿宋_GB2312"/>
                <w:sz w:val="24"/>
                <w:szCs w:val="24"/>
              </w:rPr>
              <w:t>柜操作地面应铺设绝缘胶垫；2）</w:t>
            </w:r>
            <w:r>
              <w:rPr>
                <w:rFonts w:ascii="仿宋_GB2312" w:eastAsia="仿宋_GB2312" w:cs="仿宋_GB2312" w:hint="eastAsia"/>
                <w:sz w:val="24"/>
                <w:szCs w:val="24"/>
              </w:rPr>
              <w:t>配电室应采取防雨水和防止小动物进入的措施；</w:t>
            </w:r>
            <w:r>
              <w:rPr>
                <w:rFonts w:ascii="仿宋_GB2312" w:eastAsia="仿宋_GB2312" w:cs="仿宋_GB2312"/>
                <w:sz w:val="24"/>
                <w:szCs w:val="24"/>
              </w:rPr>
              <w:t>3）</w:t>
            </w:r>
            <w:r>
              <w:rPr>
                <w:rFonts w:ascii="仿宋_GB2312" w:eastAsia="仿宋_GB2312" w:cs="仿宋_GB2312" w:hint="eastAsia"/>
                <w:sz w:val="24"/>
                <w:szCs w:val="24"/>
              </w:rPr>
              <w:t>配电室应配备绝缘手套</w:t>
            </w:r>
            <w:r w:rsidR="00DF50C7">
              <w:rPr>
                <w:rFonts w:ascii="仿宋_GB2312" w:eastAsia="仿宋_GB2312" w:cs="仿宋_GB2312" w:hint="eastAsia"/>
                <w:sz w:val="24"/>
                <w:szCs w:val="24"/>
              </w:rPr>
              <w:t>、</w:t>
            </w:r>
            <w:r>
              <w:rPr>
                <w:rFonts w:ascii="仿宋_GB2312" w:eastAsia="仿宋_GB2312" w:cs="仿宋_GB2312" w:hint="eastAsia"/>
                <w:sz w:val="24"/>
                <w:szCs w:val="24"/>
              </w:rPr>
              <w:t>绝缘靴等安全工具</w:t>
            </w:r>
            <w:r w:rsidR="00DF50C7">
              <w:rPr>
                <w:rFonts w:ascii="仿宋_GB2312" w:eastAsia="仿宋_GB2312" w:cs="仿宋_GB2312" w:hint="eastAsia"/>
                <w:sz w:val="24"/>
                <w:szCs w:val="24"/>
              </w:rPr>
              <w:t>；</w:t>
            </w:r>
          </w:p>
          <w:p w:rsidR="00C93698" w:rsidRDefault="006A6FB8">
            <w:pPr>
              <w:spacing w:line="320" w:lineRule="exact"/>
              <w:jc w:val="left"/>
              <w:rPr>
                <w:rFonts w:ascii="仿宋_GB2312" w:eastAsia="仿宋_GB2312" w:cs="仿宋_GB2312"/>
                <w:sz w:val="24"/>
                <w:szCs w:val="24"/>
              </w:rPr>
            </w:pPr>
            <w:r w:rsidRPr="004B6C3D">
              <w:rPr>
                <w:rFonts w:ascii="仿宋_GB2312" w:eastAsia="仿宋_GB2312" w:cs="仿宋_GB2312" w:hint="eastAsia"/>
                <w:sz w:val="24"/>
                <w:szCs w:val="24"/>
              </w:rPr>
              <w:t>（</w:t>
            </w:r>
            <w:r w:rsidRPr="004B6C3D">
              <w:rPr>
                <w:rFonts w:ascii="仿宋_GB2312" w:eastAsia="仿宋_GB2312" w:cs="仿宋_GB2312"/>
                <w:sz w:val="24"/>
                <w:szCs w:val="24"/>
              </w:rPr>
              <w:t>2</w:t>
            </w:r>
            <w:r w:rsidRPr="004B6C3D">
              <w:rPr>
                <w:rFonts w:ascii="仿宋_GB2312" w:eastAsia="仿宋_GB2312" w:cs="仿宋_GB2312" w:hint="eastAsia"/>
                <w:sz w:val="24"/>
                <w:szCs w:val="24"/>
              </w:rPr>
              <w:t>）配电箱</w:t>
            </w:r>
            <w:r>
              <w:rPr>
                <w:rFonts w:ascii="仿宋_GB2312" w:eastAsia="仿宋_GB2312" w:cs="仿宋_GB2312" w:hint="eastAsia"/>
                <w:sz w:val="24"/>
                <w:szCs w:val="24"/>
              </w:rPr>
              <w:t>：</w:t>
            </w:r>
            <w:r>
              <w:rPr>
                <w:rFonts w:ascii="仿宋_GB2312" w:eastAsia="仿宋_GB2312" w:cs="仿宋_GB2312"/>
                <w:sz w:val="24"/>
                <w:szCs w:val="24"/>
              </w:rPr>
              <w:t>1）配电箱内应安装防止操作时触电的隔绝板</w:t>
            </w:r>
            <w:r>
              <w:rPr>
                <w:rFonts w:ascii="仿宋_GB2312" w:eastAsia="仿宋_GB2312" w:cs="仿宋_GB2312" w:hint="eastAsia"/>
                <w:sz w:val="24"/>
                <w:szCs w:val="24"/>
              </w:rPr>
              <w:t>；</w:t>
            </w:r>
            <w:r>
              <w:rPr>
                <w:rFonts w:ascii="仿宋_GB2312" w:eastAsia="仿宋_GB2312" w:cs="仿宋_GB2312"/>
                <w:sz w:val="24"/>
                <w:szCs w:val="24"/>
              </w:rPr>
              <w:t>2）箱门与箱体接地</w:t>
            </w:r>
            <w:r>
              <w:rPr>
                <w:rFonts w:ascii="仿宋_GB2312" w:eastAsia="仿宋_GB2312" w:cs="仿宋_GB2312" w:hint="eastAsia"/>
                <w:sz w:val="24"/>
                <w:szCs w:val="24"/>
              </w:rPr>
              <w:t>完</w:t>
            </w:r>
            <w:r>
              <w:rPr>
                <w:rFonts w:ascii="仿宋_GB2312" w:eastAsia="仿宋_GB2312" w:cs="仿宋_GB2312"/>
                <w:sz w:val="24"/>
                <w:szCs w:val="24"/>
              </w:rPr>
              <w:t>好</w:t>
            </w:r>
            <w:r>
              <w:rPr>
                <w:rFonts w:ascii="仿宋_GB2312" w:eastAsia="仿宋_GB2312" w:cs="仿宋_GB2312" w:hint="eastAsia"/>
                <w:sz w:val="24"/>
                <w:szCs w:val="24"/>
              </w:rPr>
              <w:t>；3）插座严禁固定在可燃材料上，配电箱等电器设备周围不得堆放可燃物品</w:t>
            </w:r>
            <w:r w:rsidR="00DF50C7">
              <w:rPr>
                <w:rFonts w:ascii="仿宋_GB2312" w:eastAsia="仿宋_GB2312" w:cs="仿宋_GB2312" w:hint="eastAsia"/>
                <w:sz w:val="24"/>
                <w:szCs w:val="24"/>
              </w:rPr>
              <w:t>；</w:t>
            </w:r>
          </w:p>
          <w:p w:rsidR="00C93698" w:rsidRDefault="006A6FB8">
            <w:pPr>
              <w:spacing w:line="320" w:lineRule="exact"/>
              <w:jc w:val="left"/>
              <w:rPr>
                <w:rFonts w:ascii="仿宋_GB2312" w:eastAsia="仿宋_GB2312" w:cs="仿宋_GB2312"/>
                <w:sz w:val="24"/>
                <w:szCs w:val="24"/>
              </w:rPr>
            </w:pPr>
            <w:r w:rsidRPr="004B6C3D">
              <w:rPr>
                <w:rFonts w:ascii="仿宋_GB2312" w:eastAsia="仿宋_GB2312" w:cs="仿宋_GB2312" w:hint="eastAsia"/>
                <w:sz w:val="24"/>
                <w:szCs w:val="24"/>
              </w:rPr>
              <w:t>（</w:t>
            </w:r>
            <w:r w:rsidRPr="004B6C3D">
              <w:rPr>
                <w:rFonts w:ascii="仿宋_GB2312" w:eastAsia="仿宋_GB2312" w:cs="仿宋_GB2312"/>
                <w:sz w:val="24"/>
                <w:szCs w:val="24"/>
              </w:rPr>
              <w:t>3</w:t>
            </w:r>
            <w:r w:rsidRPr="004B6C3D">
              <w:rPr>
                <w:rFonts w:ascii="仿宋_GB2312" w:eastAsia="仿宋_GB2312" w:cs="仿宋_GB2312" w:hint="eastAsia"/>
                <w:sz w:val="24"/>
                <w:szCs w:val="24"/>
              </w:rPr>
              <w:t>）电气线路</w:t>
            </w:r>
            <w:r>
              <w:rPr>
                <w:rFonts w:ascii="仿宋_GB2312" w:eastAsia="仿宋_GB2312" w:cs="仿宋_GB2312" w:hint="eastAsia"/>
                <w:sz w:val="24"/>
                <w:szCs w:val="24"/>
              </w:rPr>
              <w:t>：</w:t>
            </w:r>
            <w:r>
              <w:rPr>
                <w:rFonts w:ascii="仿宋_GB2312" w:eastAsia="仿宋_GB2312" w:cs="仿宋_GB2312"/>
                <w:sz w:val="24"/>
                <w:szCs w:val="24"/>
              </w:rPr>
              <w:t>1）线路应穿管保护；2）</w:t>
            </w:r>
            <w:r>
              <w:rPr>
                <w:rFonts w:ascii="仿宋_GB2312" w:eastAsia="仿宋_GB2312" w:cs="仿宋_GB2312" w:hint="eastAsia"/>
                <w:sz w:val="24"/>
                <w:szCs w:val="24"/>
              </w:rPr>
              <w:t>配电线路应装设漏电保护和过负荷保护。</w:t>
            </w:r>
          </w:p>
        </w:tc>
        <w:tc>
          <w:tcPr>
            <w:tcW w:w="876" w:type="dxa"/>
            <w:vAlign w:val="center"/>
          </w:tcPr>
          <w:p w:rsidR="00C93698" w:rsidRDefault="00C93698">
            <w:pPr>
              <w:spacing w:line="320" w:lineRule="exact"/>
              <w:rPr>
                <w:rFonts w:ascii="宋体" w:cs="Times New Roman"/>
                <w:sz w:val="24"/>
                <w:szCs w:val="24"/>
              </w:rPr>
            </w:pPr>
          </w:p>
        </w:tc>
      </w:tr>
      <w:tr w:rsidR="00C93698">
        <w:trPr>
          <w:trHeight w:val="854"/>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8</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危险化学品储存管理</w:t>
            </w:r>
          </w:p>
        </w:tc>
        <w:tc>
          <w:tcPr>
            <w:tcW w:w="10093" w:type="dxa"/>
            <w:vAlign w:val="center"/>
          </w:tcPr>
          <w:p w:rsidR="00C93698" w:rsidRDefault="006A6FB8">
            <w:pPr>
              <w:pStyle w:val="a7"/>
              <w:widowControl/>
              <w:spacing w:beforeAutospacing="0" w:afterAutospacing="0" w:line="320" w:lineRule="exact"/>
              <w:rPr>
                <w:rFonts w:ascii="仿宋_GB2312" w:eastAsia="仿宋_GB2312" w:cs="仿宋_GB2312"/>
              </w:rPr>
            </w:pPr>
            <w:r>
              <w:rPr>
                <w:rFonts w:ascii="仿宋_GB2312" w:eastAsia="仿宋_GB2312" w:cs="仿宋_GB2312" w:hint="eastAsia"/>
              </w:rPr>
              <w:t>油漆、油墨、稀释剂等易燃危险化学品储存、使用应符合以下要求：</w:t>
            </w:r>
          </w:p>
          <w:p w:rsidR="00C93698" w:rsidRDefault="006A6FB8">
            <w:pPr>
              <w:pStyle w:val="ae"/>
              <w:spacing w:line="320" w:lineRule="exact"/>
              <w:ind w:firstLineChars="0" w:firstLine="0"/>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危险化学品应储存在专用仓库，应设置通风设施、防泄漏设施、可燃气体浓度报警装置、防静电措施、防爆措施，配备灭火器材；</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危险化学品使用量较小的企业，可存放在危险化学品储存柜内，存放易燃液体、可燃液体时打开排气孔，柜体内应连接静电接地导线；</w:t>
            </w:r>
          </w:p>
          <w:p w:rsidR="00C93698" w:rsidRDefault="006A6FB8">
            <w:pPr>
              <w:pStyle w:val="ae"/>
              <w:spacing w:line="320" w:lineRule="exact"/>
              <w:ind w:firstLineChars="0" w:firstLine="0"/>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危险化学品储存、使用场所应提供安全技术说明书（MSDS）。</w:t>
            </w:r>
          </w:p>
        </w:tc>
        <w:tc>
          <w:tcPr>
            <w:tcW w:w="876" w:type="dxa"/>
            <w:vAlign w:val="center"/>
          </w:tcPr>
          <w:p w:rsidR="00C93698" w:rsidRDefault="00C93698">
            <w:pPr>
              <w:spacing w:line="320" w:lineRule="exact"/>
              <w:rPr>
                <w:rFonts w:ascii="宋体" w:cs="Times New Roman"/>
                <w:sz w:val="24"/>
                <w:szCs w:val="24"/>
              </w:rPr>
            </w:pPr>
          </w:p>
        </w:tc>
      </w:tr>
      <w:tr w:rsidR="00C93698">
        <w:trPr>
          <w:trHeight w:val="854"/>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lastRenderedPageBreak/>
              <w:t>9</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塑料涂装作业（喷油、喷漆、丝印等）工艺安全</w:t>
            </w:r>
          </w:p>
        </w:tc>
        <w:tc>
          <w:tcPr>
            <w:tcW w:w="10093" w:type="dxa"/>
            <w:vAlign w:val="center"/>
          </w:tcPr>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调漆、喷漆、烘干等作业区应与周边车间用不燃性墙体分隔；应</w:t>
            </w:r>
            <w:r w:rsidR="009A225A">
              <w:rPr>
                <w:rFonts w:ascii="仿宋_GB2312" w:eastAsia="仿宋_GB2312" w:cs="仿宋_GB2312" w:hint="eastAsia"/>
                <w:sz w:val="24"/>
                <w:szCs w:val="24"/>
              </w:rPr>
              <w:t>安装</w:t>
            </w:r>
            <w:r>
              <w:rPr>
                <w:rFonts w:ascii="仿宋_GB2312" w:eastAsia="仿宋_GB2312" w:cs="仿宋_GB2312" w:hint="eastAsia"/>
                <w:sz w:val="24"/>
                <w:szCs w:val="24"/>
              </w:rPr>
              <w:t>可燃气体</w:t>
            </w:r>
            <w:r w:rsidR="009A225A">
              <w:rPr>
                <w:rFonts w:ascii="仿宋_GB2312" w:eastAsia="仿宋_GB2312" w:cs="仿宋_GB2312" w:hint="eastAsia"/>
                <w:sz w:val="24"/>
                <w:szCs w:val="24"/>
              </w:rPr>
              <w:t>浓度</w:t>
            </w:r>
            <w:r>
              <w:rPr>
                <w:rFonts w:ascii="仿宋_GB2312" w:eastAsia="仿宋_GB2312" w:cs="仿宋_GB2312" w:hint="eastAsia"/>
                <w:sz w:val="24"/>
                <w:szCs w:val="24"/>
              </w:rPr>
              <w:t>报警装置</w:t>
            </w:r>
            <w:r w:rsidR="009A225A">
              <w:rPr>
                <w:rFonts w:ascii="仿宋_GB2312" w:eastAsia="仿宋_GB2312" w:cs="仿宋_GB2312" w:hint="eastAsia"/>
                <w:sz w:val="24"/>
                <w:szCs w:val="24"/>
              </w:rPr>
              <w:t>并</w:t>
            </w:r>
            <w:r w:rsidR="009A225A">
              <w:rPr>
                <w:rFonts w:ascii="仿宋_GB2312" w:eastAsia="仿宋_GB2312" w:cs="仿宋_GB2312"/>
                <w:sz w:val="24"/>
                <w:szCs w:val="24"/>
              </w:rPr>
              <w:t>设置</w:t>
            </w:r>
            <w:r w:rsidR="009A225A">
              <w:rPr>
                <w:rFonts w:ascii="仿宋_GB2312" w:eastAsia="仿宋_GB2312" w:cs="仿宋_GB2312" w:hint="eastAsia"/>
                <w:sz w:val="24"/>
                <w:szCs w:val="24"/>
              </w:rPr>
              <w:t>通风</w:t>
            </w:r>
            <w:r w:rsidR="009A225A">
              <w:rPr>
                <w:rFonts w:ascii="仿宋_GB2312" w:eastAsia="仿宋_GB2312" w:cs="仿宋_GB2312"/>
                <w:sz w:val="24"/>
                <w:szCs w:val="24"/>
              </w:rPr>
              <w:t>装置</w:t>
            </w:r>
            <w:r w:rsidR="009A225A">
              <w:rPr>
                <w:rFonts w:ascii="仿宋_GB2312" w:eastAsia="仿宋_GB2312" w:cs="仿宋_GB2312" w:hint="eastAsia"/>
                <w:sz w:val="24"/>
                <w:szCs w:val="24"/>
              </w:rPr>
              <w:t>，</w:t>
            </w:r>
            <w:r>
              <w:rPr>
                <w:rFonts w:ascii="仿宋_GB2312" w:eastAsia="仿宋_GB2312" w:cs="仿宋_GB2312" w:hint="eastAsia"/>
                <w:sz w:val="24"/>
                <w:szCs w:val="24"/>
              </w:rPr>
              <w:t>电气设备、电气线路应符合防爆要求；</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开桶、搅拌、抽取应采用铜制或其他不产生火花的工具，禁止采用铁制或其他可能产生火花的工具；</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作业区所有电气设备、金属容器及管路等金属导体均应有可靠的导除静电装置(接地)；</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4）</w:t>
            </w:r>
            <w:r>
              <w:rPr>
                <w:rFonts w:ascii="仿宋_GB2312" w:eastAsia="仿宋_GB2312" w:cs="仿宋_GB2312" w:hint="eastAsia"/>
                <w:sz w:val="24"/>
                <w:szCs w:val="24"/>
              </w:rPr>
              <w:t>烘干室应设置温度自动控制</w:t>
            </w:r>
            <w:r w:rsidR="009A225A">
              <w:rPr>
                <w:rFonts w:ascii="仿宋_GB2312" w:eastAsia="仿宋_GB2312" w:cs="仿宋_GB2312" w:hint="eastAsia"/>
                <w:sz w:val="24"/>
                <w:szCs w:val="24"/>
              </w:rPr>
              <w:t>装置</w:t>
            </w:r>
            <w:r>
              <w:rPr>
                <w:rFonts w:ascii="仿宋_GB2312" w:eastAsia="仿宋_GB2312" w:cs="仿宋_GB2312" w:hint="eastAsia"/>
                <w:sz w:val="24"/>
                <w:szCs w:val="24"/>
              </w:rPr>
              <w:t>及超温报警装置。</w:t>
            </w:r>
          </w:p>
        </w:tc>
        <w:tc>
          <w:tcPr>
            <w:tcW w:w="876" w:type="dxa"/>
            <w:vAlign w:val="center"/>
          </w:tcPr>
          <w:p w:rsidR="00C93698" w:rsidRDefault="00C93698">
            <w:pPr>
              <w:spacing w:line="320" w:lineRule="exact"/>
              <w:rPr>
                <w:rFonts w:ascii="宋体" w:cs="Times New Roman"/>
                <w:sz w:val="24"/>
                <w:szCs w:val="24"/>
              </w:rPr>
            </w:pPr>
          </w:p>
        </w:tc>
      </w:tr>
      <w:tr w:rsidR="00C93698">
        <w:trPr>
          <w:trHeight w:val="430"/>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1</w:t>
            </w:r>
            <w:r>
              <w:rPr>
                <w:rFonts w:ascii="仿宋_GB2312" w:eastAsia="仿宋_GB2312" w:hAnsi="黑体" w:cs="仿宋_GB2312"/>
                <w:sz w:val="24"/>
                <w:szCs w:val="24"/>
              </w:rPr>
              <w:t>0</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危险作业安全</w:t>
            </w:r>
          </w:p>
        </w:tc>
        <w:tc>
          <w:tcPr>
            <w:tcW w:w="10093" w:type="dxa"/>
            <w:vAlign w:val="center"/>
          </w:tcPr>
          <w:p w:rsidR="00C93698" w:rsidRDefault="006A6FB8">
            <w:pPr>
              <w:spacing w:line="320" w:lineRule="exact"/>
              <w:jc w:val="left"/>
              <w:rPr>
                <w:rFonts w:ascii="仿宋_GB2312" w:eastAsia="仿宋_GB2312" w:cs="仿宋_GB2312"/>
                <w:sz w:val="24"/>
                <w:szCs w:val="24"/>
              </w:rPr>
            </w:pPr>
            <w:r w:rsidRPr="004B6C3D">
              <w:rPr>
                <w:rFonts w:ascii="仿宋_GB2312" w:eastAsia="仿宋_GB2312" w:cs="仿宋_GB2312" w:hint="eastAsia"/>
                <w:sz w:val="24"/>
                <w:szCs w:val="24"/>
              </w:rPr>
              <w:t>（</w:t>
            </w:r>
            <w:r w:rsidRPr="004B6C3D">
              <w:rPr>
                <w:rFonts w:ascii="仿宋_GB2312" w:eastAsia="仿宋_GB2312" w:cs="仿宋_GB2312"/>
                <w:sz w:val="24"/>
                <w:szCs w:val="24"/>
              </w:rPr>
              <w:t>1</w:t>
            </w:r>
            <w:r w:rsidRPr="004B6C3D">
              <w:rPr>
                <w:rFonts w:ascii="仿宋_GB2312" w:eastAsia="仿宋_GB2312" w:cs="仿宋_GB2312" w:hint="eastAsia"/>
                <w:sz w:val="24"/>
                <w:szCs w:val="24"/>
              </w:rPr>
              <w:t>）有限空间作业</w:t>
            </w:r>
            <w:r>
              <w:rPr>
                <w:rFonts w:ascii="仿宋_GB2312" w:eastAsia="仿宋_GB2312" w:cs="仿宋_GB2312" w:hint="eastAsia"/>
                <w:sz w:val="24"/>
                <w:szCs w:val="24"/>
              </w:rPr>
              <w:t>：1）建立喷油废气处理设施、污水池等有限空间台账；2）有限空间现场设置明显的安全警示标志；3）根据本企业有限空间作业的特点，配备</w:t>
            </w:r>
            <w:r w:rsidR="001E43BC">
              <w:rPr>
                <w:rFonts w:ascii="仿宋_GB2312" w:eastAsia="仿宋_GB2312" w:cs="仿宋_GB2312" w:hint="eastAsia"/>
                <w:sz w:val="24"/>
                <w:szCs w:val="24"/>
              </w:rPr>
              <w:t>通风</w:t>
            </w:r>
            <w:r w:rsidR="001E43BC">
              <w:rPr>
                <w:rFonts w:ascii="仿宋_GB2312" w:eastAsia="仿宋_GB2312" w:cs="仿宋_GB2312"/>
                <w:sz w:val="24"/>
                <w:szCs w:val="24"/>
              </w:rPr>
              <w:t>设备</w:t>
            </w:r>
            <w:bookmarkStart w:id="0" w:name="_GoBack"/>
            <w:bookmarkEnd w:id="0"/>
            <w:r>
              <w:rPr>
                <w:rFonts w:ascii="仿宋_GB2312" w:eastAsia="仿宋_GB2312" w:cs="仿宋_GB2312" w:hint="eastAsia"/>
                <w:sz w:val="24"/>
                <w:szCs w:val="24"/>
              </w:rPr>
              <w:t>、安全绳、气体浓度探测仪等安全装备和器材；4）进入有限空间作业实施作业审批制度;5）委外有限空间作业，应签订安全协议。</w:t>
            </w:r>
          </w:p>
          <w:p w:rsidR="00C93698" w:rsidRDefault="006A6FB8">
            <w:pPr>
              <w:spacing w:line="320" w:lineRule="exact"/>
              <w:jc w:val="left"/>
              <w:rPr>
                <w:rFonts w:ascii="仿宋_GB2312" w:eastAsia="仿宋_GB2312" w:cs="仿宋_GB2312"/>
                <w:sz w:val="24"/>
                <w:szCs w:val="24"/>
              </w:rPr>
            </w:pPr>
            <w:r w:rsidRPr="004B6C3D">
              <w:rPr>
                <w:rFonts w:ascii="仿宋_GB2312" w:eastAsia="仿宋_GB2312" w:cs="仿宋_GB2312" w:hint="eastAsia"/>
                <w:sz w:val="24"/>
                <w:szCs w:val="24"/>
              </w:rPr>
              <w:t>（</w:t>
            </w:r>
            <w:r w:rsidRPr="004B6C3D">
              <w:rPr>
                <w:rFonts w:ascii="仿宋_GB2312" w:eastAsia="仿宋_GB2312" w:cs="仿宋_GB2312"/>
                <w:sz w:val="24"/>
                <w:szCs w:val="24"/>
              </w:rPr>
              <w:t>2</w:t>
            </w:r>
            <w:r w:rsidRPr="004B6C3D">
              <w:rPr>
                <w:rFonts w:ascii="仿宋_GB2312" w:eastAsia="仿宋_GB2312" w:cs="仿宋_GB2312" w:hint="eastAsia"/>
                <w:sz w:val="24"/>
                <w:szCs w:val="24"/>
              </w:rPr>
              <w:t>）高处作业</w:t>
            </w:r>
            <w:r>
              <w:rPr>
                <w:rFonts w:ascii="仿宋_GB2312" w:eastAsia="仿宋_GB2312" w:cs="仿宋_GB2312" w:hint="eastAsia"/>
                <w:sz w:val="24"/>
                <w:szCs w:val="24"/>
              </w:rPr>
              <w:t>：1）注塑机、卸货平台等登高作业平台设置安全护栏、固定式直梯超过3米应设置安全护笼，</w:t>
            </w:r>
            <w:r w:rsidR="009A225A">
              <w:rPr>
                <w:rFonts w:ascii="仿宋_GB2312" w:eastAsia="仿宋_GB2312" w:cs="仿宋_GB2312" w:hint="eastAsia"/>
                <w:sz w:val="24"/>
                <w:szCs w:val="24"/>
              </w:rPr>
              <w:t>并</w:t>
            </w:r>
            <w:r>
              <w:rPr>
                <w:rFonts w:ascii="仿宋_GB2312" w:eastAsia="仿宋_GB2312" w:cs="仿宋_GB2312" w:hint="eastAsia"/>
                <w:sz w:val="24"/>
                <w:szCs w:val="24"/>
              </w:rPr>
              <w:t>张贴安全警示标志；2）配备高处作业安全梯具、安全帽、安全带等安全装备，并定期检查确保安全有效；3）实施作业审批制度。</w:t>
            </w:r>
          </w:p>
          <w:p w:rsidR="00C93698" w:rsidRDefault="006A6FB8">
            <w:pPr>
              <w:spacing w:line="320" w:lineRule="exact"/>
              <w:jc w:val="left"/>
              <w:rPr>
                <w:rFonts w:ascii="仿宋_GB2312" w:eastAsia="仿宋_GB2312" w:cs="仿宋_GB2312"/>
                <w:sz w:val="24"/>
                <w:szCs w:val="24"/>
              </w:rPr>
            </w:pPr>
            <w:r w:rsidRPr="004B6C3D">
              <w:rPr>
                <w:rFonts w:ascii="仿宋_GB2312" w:eastAsia="仿宋_GB2312" w:cs="仿宋_GB2312" w:hint="eastAsia"/>
                <w:sz w:val="24"/>
                <w:szCs w:val="24"/>
              </w:rPr>
              <w:t>（</w:t>
            </w:r>
            <w:r w:rsidRPr="004B6C3D">
              <w:rPr>
                <w:rFonts w:ascii="仿宋_GB2312" w:eastAsia="仿宋_GB2312" w:cs="仿宋_GB2312"/>
                <w:sz w:val="24"/>
                <w:szCs w:val="24"/>
              </w:rPr>
              <w:t>3</w:t>
            </w:r>
            <w:r w:rsidRPr="004B6C3D">
              <w:rPr>
                <w:rFonts w:ascii="仿宋_GB2312" w:eastAsia="仿宋_GB2312" w:cs="仿宋_GB2312" w:hint="eastAsia"/>
                <w:sz w:val="24"/>
                <w:szCs w:val="24"/>
              </w:rPr>
              <w:t>）临时用电作业</w:t>
            </w:r>
            <w:r>
              <w:rPr>
                <w:rFonts w:ascii="仿宋_GB2312" w:eastAsia="仿宋_GB2312" w:cs="仿宋_GB2312" w:hint="eastAsia"/>
                <w:sz w:val="24"/>
                <w:szCs w:val="24"/>
              </w:rPr>
              <w:t>：1）临时用电线路、设备安全可靠；2）临时用电确保“一机、一闸、一漏、一箱”（一台用电设备单独使用一个电箱，电箱里必须有一个闸刀开关和一个漏电保护器共同组成的安全保护用电电路）。</w:t>
            </w:r>
          </w:p>
        </w:tc>
        <w:tc>
          <w:tcPr>
            <w:tcW w:w="876" w:type="dxa"/>
            <w:vAlign w:val="center"/>
          </w:tcPr>
          <w:p w:rsidR="00C93698" w:rsidRDefault="00C93698">
            <w:pPr>
              <w:spacing w:line="320" w:lineRule="exact"/>
              <w:rPr>
                <w:rFonts w:ascii="宋体" w:cs="Times New Roman"/>
                <w:sz w:val="24"/>
                <w:szCs w:val="24"/>
              </w:rPr>
            </w:pPr>
          </w:p>
        </w:tc>
      </w:tr>
      <w:tr w:rsidR="00C93698">
        <w:trPr>
          <w:trHeight w:val="854"/>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1</w:t>
            </w:r>
            <w:r>
              <w:rPr>
                <w:rFonts w:ascii="仿宋_GB2312" w:eastAsia="仿宋_GB2312" w:hAnsi="黑体" w:cs="仿宋_GB2312"/>
                <w:sz w:val="24"/>
                <w:szCs w:val="24"/>
              </w:rPr>
              <w:t>1</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仓库安全</w:t>
            </w:r>
          </w:p>
        </w:tc>
        <w:tc>
          <w:tcPr>
            <w:tcW w:w="10093" w:type="dxa"/>
            <w:vAlign w:val="center"/>
          </w:tcPr>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（1）可燃材料仓库应使用低温照明灯具；</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）仓库内不得从事生产、加工活动；</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）仓库通道保证通畅，配备消防器材。</w:t>
            </w:r>
          </w:p>
        </w:tc>
        <w:tc>
          <w:tcPr>
            <w:tcW w:w="876" w:type="dxa"/>
            <w:vAlign w:val="center"/>
          </w:tcPr>
          <w:p w:rsidR="00C93698" w:rsidRDefault="00C93698">
            <w:pPr>
              <w:spacing w:line="320" w:lineRule="exact"/>
              <w:rPr>
                <w:rFonts w:ascii="宋体" w:cs="Times New Roman"/>
                <w:sz w:val="24"/>
                <w:szCs w:val="24"/>
              </w:rPr>
            </w:pPr>
          </w:p>
        </w:tc>
      </w:tr>
      <w:tr w:rsidR="00C93698">
        <w:trPr>
          <w:trHeight w:val="416"/>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1</w:t>
            </w:r>
            <w:r>
              <w:rPr>
                <w:rFonts w:ascii="仿宋_GB2312" w:eastAsia="仿宋_GB2312" w:hAnsi="黑体" w:cs="仿宋_GB2312"/>
                <w:sz w:val="24"/>
                <w:szCs w:val="24"/>
              </w:rPr>
              <w:t>2</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安全疏散</w:t>
            </w:r>
          </w:p>
        </w:tc>
        <w:tc>
          <w:tcPr>
            <w:tcW w:w="10093" w:type="dxa"/>
            <w:vAlign w:val="center"/>
          </w:tcPr>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疏散通道保持畅通，安全出口严禁上锁。</w:t>
            </w:r>
          </w:p>
        </w:tc>
        <w:tc>
          <w:tcPr>
            <w:tcW w:w="876" w:type="dxa"/>
            <w:vAlign w:val="center"/>
          </w:tcPr>
          <w:p w:rsidR="00C93698" w:rsidRDefault="00C93698">
            <w:pPr>
              <w:spacing w:line="320" w:lineRule="exact"/>
              <w:rPr>
                <w:rFonts w:ascii="宋体" w:cs="Times New Roman"/>
                <w:sz w:val="24"/>
                <w:szCs w:val="24"/>
              </w:rPr>
            </w:pPr>
          </w:p>
        </w:tc>
      </w:tr>
      <w:tr w:rsidR="00C93698">
        <w:trPr>
          <w:trHeight w:val="584"/>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1</w:t>
            </w:r>
            <w:r>
              <w:rPr>
                <w:rFonts w:ascii="仿宋_GB2312" w:eastAsia="仿宋_GB2312" w:hAnsi="黑体" w:cs="仿宋_GB2312"/>
                <w:sz w:val="24"/>
                <w:szCs w:val="24"/>
              </w:rPr>
              <w:t>3</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安全警示标识</w:t>
            </w:r>
          </w:p>
        </w:tc>
        <w:tc>
          <w:tcPr>
            <w:tcW w:w="10093" w:type="dxa"/>
            <w:vAlign w:val="center"/>
          </w:tcPr>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企业应在有较大危险因素的机械设备、高温场所、电气设施、危化品使用储存场所设置安全警示标识。</w:t>
            </w:r>
          </w:p>
        </w:tc>
        <w:tc>
          <w:tcPr>
            <w:tcW w:w="876" w:type="dxa"/>
            <w:vAlign w:val="center"/>
          </w:tcPr>
          <w:p w:rsidR="00C93698" w:rsidRDefault="00C93698">
            <w:pPr>
              <w:spacing w:line="320" w:lineRule="exact"/>
              <w:rPr>
                <w:rFonts w:ascii="宋体" w:cs="Times New Roman"/>
              </w:rPr>
            </w:pPr>
          </w:p>
        </w:tc>
      </w:tr>
      <w:tr w:rsidR="00C93698">
        <w:trPr>
          <w:trHeight w:val="554"/>
          <w:jc w:val="center"/>
        </w:trPr>
        <w:tc>
          <w:tcPr>
            <w:tcW w:w="708" w:type="dxa"/>
            <w:vAlign w:val="center"/>
          </w:tcPr>
          <w:p w:rsidR="00C93698" w:rsidRDefault="006A6FB8">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14</w:t>
            </w:r>
          </w:p>
        </w:tc>
        <w:tc>
          <w:tcPr>
            <w:tcW w:w="2635" w:type="dxa"/>
            <w:vAlign w:val="center"/>
          </w:tcPr>
          <w:p w:rsidR="00C93698" w:rsidRDefault="006A6FB8">
            <w:pPr>
              <w:spacing w:line="320" w:lineRule="exact"/>
              <w:rPr>
                <w:rFonts w:ascii="仿宋_GB2312" w:eastAsia="仿宋_GB2312" w:cs="仿宋_GB2312"/>
                <w:sz w:val="24"/>
                <w:szCs w:val="24"/>
              </w:rPr>
            </w:pPr>
            <w:r>
              <w:rPr>
                <w:rFonts w:ascii="仿宋_GB2312" w:eastAsia="仿宋_GB2312" w:cs="仿宋_GB2312" w:hint="eastAsia"/>
                <w:sz w:val="24"/>
                <w:szCs w:val="24"/>
              </w:rPr>
              <w:t>应急预案和应急演练</w:t>
            </w:r>
          </w:p>
        </w:tc>
        <w:tc>
          <w:tcPr>
            <w:tcW w:w="10093" w:type="dxa"/>
            <w:vAlign w:val="center"/>
          </w:tcPr>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（1）企业应当制定有操作性的应急救援预案，每半年至少组织一次事故应急救援演练；</w:t>
            </w:r>
          </w:p>
          <w:p w:rsidR="00C93698" w:rsidRDefault="006A6FB8">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（2）按应急预案要求配备应急物资，确保有效、可用。</w:t>
            </w:r>
          </w:p>
        </w:tc>
        <w:tc>
          <w:tcPr>
            <w:tcW w:w="876" w:type="dxa"/>
            <w:vAlign w:val="center"/>
          </w:tcPr>
          <w:p w:rsidR="00C93698" w:rsidRDefault="00C93698">
            <w:pPr>
              <w:spacing w:line="320" w:lineRule="exact"/>
              <w:rPr>
                <w:rFonts w:ascii="宋体" w:cs="Times New Roman"/>
              </w:rPr>
            </w:pPr>
          </w:p>
        </w:tc>
      </w:tr>
    </w:tbl>
    <w:p w:rsidR="00C93698" w:rsidRDefault="00C93698">
      <w:pPr>
        <w:widowControl/>
        <w:jc w:val="left"/>
        <w:rPr>
          <w:rFonts w:ascii="宋体" w:cs="Times New Roman"/>
        </w:rPr>
      </w:pPr>
    </w:p>
    <w:sectPr w:rsidR="00C93698">
      <w:pgSz w:w="16838" w:h="11906" w:orient="landscape"/>
      <w:pgMar w:top="1800" w:right="1440" w:bottom="851"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702" w:rsidRDefault="00854702" w:rsidP="00DF50C7">
      <w:r>
        <w:separator/>
      </w:r>
    </w:p>
  </w:endnote>
  <w:endnote w:type="continuationSeparator" w:id="0">
    <w:p w:rsidR="00854702" w:rsidRDefault="00854702" w:rsidP="00DF5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702" w:rsidRDefault="00854702" w:rsidP="00DF50C7">
      <w:r>
        <w:separator/>
      </w:r>
    </w:p>
  </w:footnote>
  <w:footnote w:type="continuationSeparator" w:id="0">
    <w:p w:rsidR="00854702" w:rsidRDefault="00854702" w:rsidP="00DF50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8406D"/>
    <w:multiLevelType w:val="multilevel"/>
    <w:tmpl w:val="0BB8406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B30"/>
    <w:rsid w:val="00000085"/>
    <w:rsid w:val="00002273"/>
    <w:rsid w:val="000041C3"/>
    <w:rsid w:val="0000442F"/>
    <w:rsid w:val="00005AA2"/>
    <w:rsid w:val="0000729B"/>
    <w:rsid w:val="00016B5C"/>
    <w:rsid w:val="00020EB0"/>
    <w:rsid w:val="0002292D"/>
    <w:rsid w:val="00031EA3"/>
    <w:rsid w:val="000321C1"/>
    <w:rsid w:val="00054688"/>
    <w:rsid w:val="0005596A"/>
    <w:rsid w:val="00062C9A"/>
    <w:rsid w:val="0006585A"/>
    <w:rsid w:val="000740EB"/>
    <w:rsid w:val="00077A2D"/>
    <w:rsid w:val="000856F9"/>
    <w:rsid w:val="00086C47"/>
    <w:rsid w:val="00094A6A"/>
    <w:rsid w:val="000A09B6"/>
    <w:rsid w:val="000A1759"/>
    <w:rsid w:val="000B09FC"/>
    <w:rsid w:val="000B5A82"/>
    <w:rsid w:val="000E070D"/>
    <w:rsid w:val="000E2D4E"/>
    <w:rsid w:val="00113A41"/>
    <w:rsid w:val="00125485"/>
    <w:rsid w:val="00133C63"/>
    <w:rsid w:val="001404B7"/>
    <w:rsid w:val="00145085"/>
    <w:rsid w:val="00154B28"/>
    <w:rsid w:val="00156E86"/>
    <w:rsid w:val="00161015"/>
    <w:rsid w:val="001638DF"/>
    <w:rsid w:val="00167027"/>
    <w:rsid w:val="001705E3"/>
    <w:rsid w:val="00172085"/>
    <w:rsid w:val="0017309B"/>
    <w:rsid w:val="0017596A"/>
    <w:rsid w:val="00177D11"/>
    <w:rsid w:val="00181975"/>
    <w:rsid w:val="00185D28"/>
    <w:rsid w:val="001921BE"/>
    <w:rsid w:val="001A26EE"/>
    <w:rsid w:val="001A49EB"/>
    <w:rsid w:val="001B6905"/>
    <w:rsid w:val="001B7913"/>
    <w:rsid w:val="001C071E"/>
    <w:rsid w:val="001C2638"/>
    <w:rsid w:val="001C4636"/>
    <w:rsid w:val="001C4B94"/>
    <w:rsid w:val="001C5DD3"/>
    <w:rsid w:val="001E43BC"/>
    <w:rsid w:val="001E6FE6"/>
    <w:rsid w:val="001F1AA4"/>
    <w:rsid w:val="001F4DCB"/>
    <w:rsid w:val="001F7862"/>
    <w:rsid w:val="00210534"/>
    <w:rsid w:val="00214CA7"/>
    <w:rsid w:val="00224D40"/>
    <w:rsid w:val="00226F2A"/>
    <w:rsid w:val="00231556"/>
    <w:rsid w:val="00234B2A"/>
    <w:rsid w:val="0024161E"/>
    <w:rsid w:val="00242074"/>
    <w:rsid w:val="002462A9"/>
    <w:rsid w:val="002470B9"/>
    <w:rsid w:val="00257E9B"/>
    <w:rsid w:val="00266F80"/>
    <w:rsid w:val="00284ED7"/>
    <w:rsid w:val="002867BA"/>
    <w:rsid w:val="002A00EA"/>
    <w:rsid w:val="002B6E5E"/>
    <w:rsid w:val="002C2E1E"/>
    <w:rsid w:val="002C6EA8"/>
    <w:rsid w:val="002C7D7E"/>
    <w:rsid w:val="002D3E96"/>
    <w:rsid w:val="002E1718"/>
    <w:rsid w:val="002E2DC3"/>
    <w:rsid w:val="002F10D5"/>
    <w:rsid w:val="002F21DA"/>
    <w:rsid w:val="00302E3D"/>
    <w:rsid w:val="003043D7"/>
    <w:rsid w:val="003045DF"/>
    <w:rsid w:val="00304B98"/>
    <w:rsid w:val="003247A2"/>
    <w:rsid w:val="00324BC5"/>
    <w:rsid w:val="00331B88"/>
    <w:rsid w:val="00331E04"/>
    <w:rsid w:val="00336E6C"/>
    <w:rsid w:val="00343E92"/>
    <w:rsid w:val="00354F2F"/>
    <w:rsid w:val="003555E2"/>
    <w:rsid w:val="00361DA0"/>
    <w:rsid w:val="0036335A"/>
    <w:rsid w:val="00365292"/>
    <w:rsid w:val="003733D7"/>
    <w:rsid w:val="00374002"/>
    <w:rsid w:val="003744C2"/>
    <w:rsid w:val="0037760C"/>
    <w:rsid w:val="0038101D"/>
    <w:rsid w:val="003822B0"/>
    <w:rsid w:val="003823E2"/>
    <w:rsid w:val="003832E7"/>
    <w:rsid w:val="00387D7B"/>
    <w:rsid w:val="003919E2"/>
    <w:rsid w:val="00392B3A"/>
    <w:rsid w:val="0039680D"/>
    <w:rsid w:val="003A1D93"/>
    <w:rsid w:val="003A761B"/>
    <w:rsid w:val="003B4CD2"/>
    <w:rsid w:val="003B5013"/>
    <w:rsid w:val="003E0A32"/>
    <w:rsid w:val="003F5636"/>
    <w:rsid w:val="003F6B30"/>
    <w:rsid w:val="00404E3B"/>
    <w:rsid w:val="004058E4"/>
    <w:rsid w:val="0040746A"/>
    <w:rsid w:val="0041102A"/>
    <w:rsid w:val="00411735"/>
    <w:rsid w:val="004155A8"/>
    <w:rsid w:val="0042017F"/>
    <w:rsid w:val="00427FB3"/>
    <w:rsid w:val="00433FCA"/>
    <w:rsid w:val="00434B79"/>
    <w:rsid w:val="004368E8"/>
    <w:rsid w:val="0043742A"/>
    <w:rsid w:val="00437529"/>
    <w:rsid w:val="00444D0C"/>
    <w:rsid w:val="00456785"/>
    <w:rsid w:val="00456BC4"/>
    <w:rsid w:val="00492898"/>
    <w:rsid w:val="004A4854"/>
    <w:rsid w:val="004A4BFC"/>
    <w:rsid w:val="004B550C"/>
    <w:rsid w:val="004B6C3D"/>
    <w:rsid w:val="004C300A"/>
    <w:rsid w:val="004C361E"/>
    <w:rsid w:val="004E0A52"/>
    <w:rsid w:val="004E0AD2"/>
    <w:rsid w:val="004F10ED"/>
    <w:rsid w:val="00502914"/>
    <w:rsid w:val="005060A5"/>
    <w:rsid w:val="005078BD"/>
    <w:rsid w:val="00513CC8"/>
    <w:rsid w:val="00536DB4"/>
    <w:rsid w:val="0053729F"/>
    <w:rsid w:val="005414E0"/>
    <w:rsid w:val="00550A8B"/>
    <w:rsid w:val="0055551E"/>
    <w:rsid w:val="005578E1"/>
    <w:rsid w:val="00560ECB"/>
    <w:rsid w:val="00561140"/>
    <w:rsid w:val="00580690"/>
    <w:rsid w:val="00585CB2"/>
    <w:rsid w:val="00590A59"/>
    <w:rsid w:val="00591799"/>
    <w:rsid w:val="00597892"/>
    <w:rsid w:val="005B3A34"/>
    <w:rsid w:val="005C0CB6"/>
    <w:rsid w:val="005D1E46"/>
    <w:rsid w:val="005E16FB"/>
    <w:rsid w:val="005E44D4"/>
    <w:rsid w:val="005E52E1"/>
    <w:rsid w:val="005F1562"/>
    <w:rsid w:val="005F2CA8"/>
    <w:rsid w:val="005F50C7"/>
    <w:rsid w:val="005F70B7"/>
    <w:rsid w:val="00601E3B"/>
    <w:rsid w:val="0063006D"/>
    <w:rsid w:val="006307BD"/>
    <w:rsid w:val="00633180"/>
    <w:rsid w:val="00637C32"/>
    <w:rsid w:val="00645A33"/>
    <w:rsid w:val="00647EBF"/>
    <w:rsid w:val="00654609"/>
    <w:rsid w:val="0066160A"/>
    <w:rsid w:val="00683EF3"/>
    <w:rsid w:val="00692EAD"/>
    <w:rsid w:val="0069675A"/>
    <w:rsid w:val="006A49ED"/>
    <w:rsid w:val="006A5FEC"/>
    <w:rsid w:val="006A6FB8"/>
    <w:rsid w:val="006B15C7"/>
    <w:rsid w:val="006B5F41"/>
    <w:rsid w:val="006B78F5"/>
    <w:rsid w:val="006D0F5B"/>
    <w:rsid w:val="006D110C"/>
    <w:rsid w:val="006D2C3F"/>
    <w:rsid w:val="006D468A"/>
    <w:rsid w:val="006E08D5"/>
    <w:rsid w:val="006E4794"/>
    <w:rsid w:val="006F7F50"/>
    <w:rsid w:val="00700EC0"/>
    <w:rsid w:val="007037ED"/>
    <w:rsid w:val="00720352"/>
    <w:rsid w:val="007203E3"/>
    <w:rsid w:val="007217EF"/>
    <w:rsid w:val="00724513"/>
    <w:rsid w:val="00724F4F"/>
    <w:rsid w:val="00736E53"/>
    <w:rsid w:val="00754469"/>
    <w:rsid w:val="00754EF8"/>
    <w:rsid w:val="0076248E"/>
    <w:rsid w:val="00763F47"/>
    <w:rsid w:val="007702A3"/>
    <w:rsid w:val="007929F4"/>
    <w:rsid w:val="00795970"/>
    <w:rsid w:val="007A3A8E"/>
    <w:rsid w:val="007B3ACF"/>
    <w:rsid w:val="007B7988"/>
    <w:rsid w:val="007C6AA4"/>
    <w:rsid w:val="007D0069"/>
    <w:rsid w:val="007F6ECC"/>
    <w:rsid w:val="007F7404"/>
    <w:rsid w:val="008040A9"/>
    <w:rsid w:val="00812002"/>
    <w:rsid w:val="00812BE8"/>
    <w:rsid w:val="00821822"/>
    <w:rsid w:val="0082424B"/>
    <w:rsid w:val="00837F40"/>
    <w:rsid w:val="0084085B"/>
    <w:rsid w:val="00844AC4"/>
    <w:rsid w:val="00847A86"/>
    <w:rsid w:val="00854702"/>
    <w:rsid w:val="008558DB"/>
    <w:rsid w:val="00860F01"/>
    <w:rsid w:val="00861395"/>
    <w:rsid w:val="00871F9C"/>
    <w:rsid w:val="00874110"/>
    <w:rsid w:val="00882314"/>
    <w:rsid w:val="00882CB9"/>
    <w:rsid w:val="008903DE"/>
    <w:rsid w:val="00892323"/>
    <w:rsid w:val="008A1B0A"/>
    <w:rsid w:val="008A41DD"/>
    <w:rsid w:val="008A566E"/>
    <w:rsid w:val="008B7ABA"/>
    <w:rsid w:val="008C007A"/>
    <w:rsid w:val="008D1D9A"/>
    <w:rsid w:val="008D5328"/>
    <w:rsid w:val="008E2A4B"/>
    <w:rsid w:val="008E4CF6"/>
    <w:rsid w:val="008E6391"/>
    <w:rsid w:val="008F3EC0"/>
    <w:rsid w:val="008F73D0"/>
    <w:rsid w:val="008F7CAB"/>
    <w:rsid w:val="009070DE"/>
    <w:rsid w:val="009127B9"/>
    <w:rsid w:val="009208D0"/>
    <w:rsid w:val="00922573"/>
    <w:rsid w:val="00925DCB"/>
    <w:rsid w:val="0093220F"/>
    <w:rsid w:val="00944077"/>
    <w:rsid w:val="0096536D"/>
    <w:rsid w:val="0096579D"/>
    <w:rsid w:val="00973D5D"/>
    <w:rsid w:val="00975463"/>
    <w:rsid w:val="00976508"/>
    <w:rsid w:val="00977017"/>
    <w:rsid w:val="0097777A"/>
    <w:rsid w:val="0098170D"/>
    <w:rsid w:val="00982827"/>
    <w:rsid w:val="00993BE8"/>
    <w:rsid w:val="009940E2"/>
    <w:rsid w:val="00994CD8"/>
    <w:rsid w:val="009970B8"/>
    <w:rsid w:val="009A225A"/>
    <w:rsid w:val="009A61CB"/>
    <w:rsid w:val="009A73D8"/>
    <w:rsid w:val="009C6965"/>
    <w:rsid w:val="009D0011"/>
    <w:rsid w:val="009D08F2"/>
    <w:rsid w:val="009D3B4E"/>
    <w:rsid w:val="009D40F0"/>
    <w:rsid w:val="009E1664"/>
    <w:rsid w:val="009F100B"/>
    <w:rsid w:val="009F36C9"/>
    <w:rsid w:val="00A03ED7"/>
    <w:rsid w:val="00A07D03"/>
    <w:rsid w:val="00A119D6"/>
    <w:rsid w:val="00A32AF6"/>
    <w:rsid w:val="00A364A4"/>
    <w:rsid w:val="00A41066"/>
    <w:rsid w:val="00A4766C"/>
    <w:rsid w:val="00A52F08"/>
    <w:rsid w:val="00A630B9"/>
    <w:rsid w:val="00A63A1F"/>
    <w:rsid w:val="00A73372"/>
    <w:rsid w:val="00A8292B"/>
    <w:rsid w:val="00A84379"/>
    <w:rsid w:val="00A85147"/>
    <w:rsid w:val="00A87FF9"/>
    <w:rsid w:val="00AA2365"/>
    <w:rsid w:val="00AA23EB"/>
    <w:rsid w:val="00AA24F7"/>
    <w:rsid w:val="00AA2C0A"/>
    <w:rsid w:val="00AA2C4D"/>
    <w:rsid w:val="00AA34D6"/>
    <w:rsid w:val="00AB2EC5"/>
    <w:rsid w:val="00AB3103"/>
    <w:rsid w:val="00AB7171"/>
    <w:rsid w:val="00AC46C3"/>
    <w:rsid w:val="00AD0912"/>
    <w:rsid w:val="00AD2223"/>
    <w:rsid w:val="00AD6261"/>
    <w:rsid w:val="00AF555F"/>
    <w:rsid w:val="00B03506"/>
    <w:rsid w:val="00B30DDD"/>
    <w:rsid w:val="00B320E6"/>
    <w:rsid w:val="00B405A3"/>
    <w:rsid w:val="00B44F07"/>
    <w:rsid w:val="00B467ED"/>
    <w:rsid w:val="00B628B2"/>
    <w:rsid w:val="00B76D94"/>
    <w:rsid w:val="00B7774F"/>
    <w:rsid w:val="00B97D6B"/>
    <w:rsid w:val="00BA0637"/>
    <w:rsid w:val="00BA1474"/>
    <w:rsid w:val="00BB1FA1"/>
    <w:rsid w:val="00BB4D2D"/>
    <w:rsid w:val="00BC1EC0"/>
    <w:rsid w:val="00BD2815"/>
    <w:rsid w:val="00BD6742"/>
    <w:rsid w:val="00BE08BF"/>
    <w:rsid w:val="00BE5033"/>
    <w:rsid w:val="00BF37A8"/>
    <w:rsid w:val="00BF6D4A"/>
    <w:rsid w:val="00C01476"/>
    <w:rsid w:val="00C048F3"/>
    <w:rsid w:val="00C054D8"/>
    <w:rsid w:val="00C20D94"/>
    <w:rsid w:val="00C37308"/>
    <w:rsid w:val="00C40AD8"/>
    <w:rsid w:val="00C563F3"/>
    <w:rsid w:val="00C6108E"/>
    <w:rsid w:val="00C67E94"/>
    <w:rsid w:val="00C71BC9"/>
    <w:rsid w:val="00C93698"/>
    <w:rsid w:val="00C94CEE"/>
    <w:rsid w:val="00CA2E30"/>
    <w:rsid w:val="00CB3BBA"/>
    <w:rsid w:val="00CC3FC1"/>
    <w:rsid w:val="00CC4B28"/>
    <w:rsid w:val="00CD19D4"/>
    <w:rsid w:val="00CE071B"/>
    <w:rsid w:val="00CE4FA2"/>
    <w:rsid w:val="00CE5308"/>
    <w:rsid w:val="00CE5FF0"/>
    <w:rsid w:val="00CF1C05"/>
    <w:rsid w:val="00D06C9D"/>
    <w:rsid w:val="00D14097"/>
    <w:rsid w:val="00D16D5C"/>
    <w:rsid w:val="00D16DD1"/>
    <w:rsid w:val="00D20A4E"/>
    <w:rsid w:val="00D253F3"/>
    <w:rsid w:val="00D33A92"/>
    <w:rsid w:val="00D35C22"/>
    <w:rsid w:val="00D36280"/>
    <w:rsid w:val="00D44ED0"/>
    <w:rsid w:val="00D466E8"/>
    <w:rsid w:val="00D4770A"/>
    <w:rsid w:val="00D504DE"/>
    <w:rsid w:val="00D5337A"/>
    <w:rsid w:val="00D5473A"/>
    <w:rsid w:val="00D62A1C"/>
    <w:rsid w:val="00D73806"/>
    <w:rsid w:val="00D7472E"/>
    <w:rsid w:val="00D90BD1"/>
    <w:rsid w:val="00DB065A"/>
    <w:rsid w:val="00DB3C4C"/>
    <w:rsid w:val="00DB6C1A"/>
    <w:rsid w:val="00DE14BC"/>
    <w:rsid w:val="00DE292A"/>
    <w:rsid w:val="00DF3BE5"/>
    <w:rsid w:val="00DF50C7"/>
    <w:rsid w:val="00DF69F7"/>
    <w:rsid w:val="00E07EDF"/>
    <w:rsid w:val="00E14E94"/>
    <w:rsid w:val="00E15A2D"/>
    <w:rsid w:val="00E168FC"/>
    <w:rsid w:val="00E21439"/>
    <w:rsid w:val="00E26C8F"/>
    <w:rsid w:val="00E32FCD"/>
    <w:rsid w:val="00E40D0F"/>
    <w:rsid w:val="00E40D15"/>
    <w:rsid w:val="00E44A42"/>
    <w:rsid w:val="00E50943"/>
    <w:rsid w:val="00E51949"/>
    <w:rsid w:val="00E519AD"/>
    <w:rsid w:val="00E51ED1"/>
    <w:rsid w:val="00E54DF4"/>
    <w:rsid w:val="00E76E4A"/>
    <w:rsid w:val="00E81B90"/>
    <w:rsid w:val="00E82260"/>
    <w:rsid w:val="00E9132B"/>
    <w:rsid w:val="00E94274"/>
    <w:rsid w:val="00EB4293"/>
    <w:rsid w:val="00EC206F"/>
    <w:rsid w:val="00EC467A"/>
    <w:rsid w:val="00ED101A"/>
    <w:rsid w:val="00ED1DB4"/>
    <w:rsid w:val="00ED1E4A"/>
    <w:rsid w:val="00EE0E27"/>
    <w:rsid w:val="00EE2F8D"/>
    <w:rsid w:val="00EF4B97"/>
    <w:rsid w:val="00EF79A9"/>
    <w:rsid w:val="00F04D93"/>
    <w:rsid w:val="00F052E3"/>
    <w:rsid w:val="00F06EA2"/>
    <w:rsid w:val="00F32576"/>
    <w:rsid w:val="00F40AC7"/>
    <w:rsid w:val="00F474BD"/>
    <w:rsid w:val="00F54348"/>
    <w:rsid w:val="00F54A9B"/>
    <w:rsid w:val="00F55CEB"/>
    <w:rsid w:val="00F56E55"/>
    <w:rsid w:val="00F6218A"/>
    <w:rsid w:val="00F64224"/>
    <w:rsid w:val="00F708DF"/>
    <w:rsid w:val="00F70F1A"/>
    <w:rsid w:val="00F819D6"/>
    <w:rsid w:val="00F90DB3"/>
    <w:rsid w:val="00F967CC"/>
    <w:rsid w:val="00FA23C2"/>
    <w:rsid w:val="00FA2C36"/>
    <w:rsid w:val="00FA3AD2"/>
    <w:rsid w:val="00FB20A9"/>
    <w:rsid w:val="00FC62A8"/>
    <w:rsid w:val="00FD2EB0"/>
    <w:rsid w:val="00FD4266"/>
    <w:rsid w:val="00FE00A3"/>
    <w:rsid w:val="00FE12CB"/>
    <w:rsid w:val="00FE3123"/>
    <w:rsid w:val="00FF384F"/>
    <w:rsid w:val="04BA6C48"/>
    <w:rsid w:val="079E2E47"/>
    <w:rsid w:val="08894BB4"/>
    <w:rsid w:val="08C64D8E"/>
    <w:rsid w:val="0FBA584D"/>
    <w:rsid w:val="141D0286"/>
    <w:rsid w:val="16A51512"/>
    <w:rsid w:val="16B502C5"/>
    <w:rsid w:val="1C075505"/>
    <w:rsid w:val="212F04AA"/>
    <w:rsid w:val="25A0225E"/>
    <w:rsid w:val="270963D8"/>
    <w:rsid w:val="27DE03E9"/>
    <w:rsid w:val="2940280F"/>
    <w:rsid w:val="2A96695B"/>
    <w:rsid w:val="2CBB350B"/>
    <w:rsid w:val="2F77334A"/>
    <w:rsid w:val="2FFA5BBF"/>
    <w:rsid w:val="308C7BA1"/>
    <w:rsid w:val="316375E2"/>
    <w:rsid w:val="31637F06"/>
    <w:rsid w:val="36824BEE"/>
    <w:rsid w:val="38093564"/>
    <w:rsid w:val="39C33616"/>
    <w:rsid w:val="3DBF2488"/>
    <w:rsid w:val="3EA3347F"/>
    <w:rsid w:val="3F384C6D"/>
    <w:rsid w:val="42183DB6"/>
    <w:rsid w:val="4554719C"/>
    <w:rsid w:val="46693DED"/>
    <w:rsid w:val="46E91E51"/>
    <w:rsid w:val="47A53F4D"/>
    <w:rsid w:val="4D0E6E9B"/>
    <w:rsid w:val="4D124BA6"/>
    <w:rsid w:val="4EE74A85"/>
    <w:rsid w:val="51F46305"/>
    <w:rsid w:val="5A8E71D9"/>
    <w:rsid w:val="5E1A1256"/>
    <w:rsid w:val="5E545135"/>
    <w:rsid w:val="5F66044C"/>
    <w:rsid w:val="61994D99"/>
    <w:rsid w:val="61D918F1"/>
    <w:rsid w:val="645E6D2A"/>
    <w:rsid w:val="649D4037"/>
    <w:rsid w:val="65B059C6"/>
    <w:rsid w:val="68F52B9D"/>
    <w:rsid w:val="6CD22164"/>
    <w:rsid w:val="6D085B09"/>
    <w:rsid w:val="713519E5"/>
    <w:rsid w:val="72772BDC"/>
    <w:rsid w:val="7435213E"/>
    <w:rsid w:val="7B9E5C1B"/>
    <w:rsid w:val="7C666CB5"/>
    <w:rsid w:val="7D3362FD"/>
    <w:rsid w:val="7DDC1968"/>
    <w:rsid w:val="7E515C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E0D5DC04-2254-4F0C-A192-F1282F9F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Times New Roman" w:hAnsi="Times New Roman" w:cs="Times New Roman"/>
      <w:kern w:val="0"/>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styleId="a7">
    <w:name w:val="Normal (Web)"/>
    <w:basedOn w:val="a"/>
    <w:uiPriority w:val="99"/>
    <w:qFormat/>
    <w:pPr>
      <w:spacing w:beforeAutospacing="1" w:afterAutospacing="1"/>
      <w:jc w:val="left"/>
    </w:pPr>
    <w:rPr>
      <w:kern w:val="0"/>
      <w:sz w:val="24"/>
      <w:szCs w:val="24"/>
    </w:rPr>
  </w:style>
  <w:style w:type="paragraph" w:styleId="a8">
    <w:name w:val="annotation subject"/>
    <w:basedOn w:val="a3"/>
    <w:next w:val="a3"/>
    <w:link w:val="Char3"/>
    <w:uiPriority w:val="99"/>
    <w:semiHidden/>
    <w:unhideWhenUsed/>
    <w:qFormat/>
    <w:rPr>
      <w:b/>
      <w:bCs/>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99"/>
    <w:qFormat/>
    <w:locked/>
    <w:rPr>
      <w:b/>
      <w:bCs/>
    </w:rPr>
  </w:style>
  <w:style w:type="character" w:styleId="ab">
    <w:name w:val="Emphasis"/>
    <w:basedOn w:val="a0"/>
    <w:uiPriority w:val="20"/>
    <w:qFormat/>
    <w:locked/>
    <w:rPr>
      <w:i/>
      <w:iCs/>
    </w:rPr>
  </w:style>
  <w:style w:type="character" w:styleId="ac">
    <w:name w:val="Hyperlink"/>
    <w:uiPriority w:val="99"/>
    <w:semiHidden/>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Char1">
    <w:name w:val="页脚 Char"/>
    <w:link w:val="a5"/>
    <w:uiPriority w:val="99"/>
    <w:qFormat/>
    <w:locked/>
    <w:rPr>
      <w:sz w:val="18"/>
      <w:szCs w:val="18"/>
    </w:rPr>
  </w:style>
  <w:style w:type="character" w:customStyle="1" w:styleId="Char2">
    <w:name w:val="页眉 Char"/>
    <w:link w:val="a6"/>
    <w:uiPriority w:val="99"/>
    <w:qFormat/>
    <w:locked/>
    <w:rPr>
      <w:sz w:val="18"/>
      <w:szCs w:val="18"/>
    </w:rPr>
  </w:style>
  <w:style w:type="paragraph" w:styleId="ae">
    <w:name w:val="List Paragraph"/>
    <w:basedOn w:val="a"/>
    <w:qFormat/>
    <w:pPr>
      <w:ind w:firstLineChars="200" w:firstLine="420"/>
    </w:pPr>
  </w:style>
  <w:style w:type="character" w:customStyle="1" w:styleId="apple-converted-space">
    <w:name w:val="apple-converted-space"/>
    <w:basedOn w:val="a0"/>
    <w:uiPriority w:val="99"/>
    <w:qFormat/>
  </w:style>
  <w:style w:type="paragraph" w:customStyle="1" w:styleId="Char4">
    <w:name w:val="Char"/>
    <w:basedOn w:val="a"/>
    <w:uiPriority w:val="99"/>
    <w:qFormat/>
    <w:rPr>
      <w:rFonts w:ascii="Times New Roman" w:hAnsi="Times New Roman" w:cs="Times New Roman"/>
      <w:sz w:val="24"/>
      <w:szCs w:val="24"/>
    </w:rPr>
  </w:style>
  <w:style w:type="character" w:customStyle="1" w:styleId="Char0">
    <w:name w:val="批注框文本 Char"/>
    <w:basedOn w:val="a0"/>
    <w:link w:val="a4"/>
    <w:uiPriority w:val="99"/>
    <w:semiHidden/>
    <w:qFormat/>
    <w:rPr>
      <w:rFonts w:ascii="Calibri" w:hAnsi="Calibri" w:cs="Calibri"/>
      <w:kern w:val="2"/>
      <w:sz w:val="18"/>
      <w:szCs w:val="18"/>
    </w:rPr>
  </w:style>
  <w:style w:type="character" w:customStyle="1" w:styleId="Char">
    <w:name w:val="批注文字 Char"/>
    <w:basedOn w:val="a0"/>
    <w:link w:val="a3"/>
    <w:uiPriority w:val="99"/>
    <w:semiHidden/>
    <w:qFormat/>
    <w:rPr>
      <w:rFonts w:ascii="Calibri" w:hAnsi="Calibri" w:cs="Calibri"/>
      <w:kern w:val="2"/>
      <w:sz w:val="21"/>
      <w:szCs w:val="21"/>
    </w:rPr>
  </w:style>
  <w:style w:type="character" w:customStyle="1" w:styleId="Char3">
    <w:name w:val="批注主题 Char"/>
    <w:basedOn w:val="Char"/>
    <w:link w:val="a8"/>
    <w:uiPriority w:val="99"/>
    <w:semiHidden/>
    <w:qFormat/>
    <w:rPr>
      <w:rFonts w:ascii="Calibri" w:hAnsi="Calibri" w:cs="Calibri"/>
      <w:b/>
      <w:bCs/>
      <w:kern w:val="2"/>
      <w:sz w:val="21"/>
      <w:szCs w:val="21"/>
    </w:rPr>
  </w:style>
  <w:style w:type="paragraph" w:customStyle="1" w:styleId="1">
    <w:name w:val="修订1"/>
    <w:hidden/>
    <w:uiPriority w:val="99"/>
    <w:semiHidden/>
    <w:qFormat/>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2131</Words>
  <Characters>117</Characters>
  <Application>Microsoft Office Word</Application>
  <DocSecurity>0</DocSecurity>
  <Lines>1</Lines>
  <Paragraphs>4</Paragraphs>
  <ScaleCrop>false</ScaleCrop>
  <Company>P R C</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Administrator</dc:creator>
  <cp:lastModifiedBy>Administrator</cp:lastModifiedBy>
  <cp:revision>15</cp:revision>
  <dcterms:created xsi:type="dcterms:W3CDTF">2019-03-04T09:43:00Z</dcterms:created>
  <dcterms:modified xsi:type="dcterms:W3CDTF">2019-03-07T02:17:00Z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