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60" w:lineRule="exact"/>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附件2</w:t>
      </w:r>
    </w:p>
    <w:p>
      <w:pPr>
        <w:pStyle w:val="3"/>
        <w:rPr>
          <w:lang w:val="en-US" w:eastAsia="zh-CN"/>
        </w:rPr>
      </w:pPr>
    </w:p>
    <w:p>
      <w:pPr>
        <w:keepNext w:val="0"/>
        <w:keepLines w:val="0"/>
        <w:pageBreakBefore w:val="0"/>
        <w:widowControl/>
        <w:kinsoku/>
        <w:wordWrap/>
        <w:overflowPunct/>
        <w:topLinePunct w:val="0"/>
        <w:autoSpaceDE/>
        <w:autoSpaceDN/>
        <w:bidi w:val="0"/>
        <w:adjustRightInd/>
        <w:snapToGrid/>
        <w:spacing w:before="0" w:beforeLines="0" w:line="560" w:lineRule="exact"/>
        <w:jc w:val="center"/>
        <w:textAlignment w:val="auto"/>
        <w:rPr>
          <w:rFonts w:hint="eastAsia" w:ascii="方正小标宋简体" w:hAnsi="Times New Roman" w:eastAsia="方正小标宋简体" w:cs="Times New Roman"/>
          <w:color w:val="000000"/>
          <w:sz w:val="44"/>
          <w:szCs w:val="44"/>
          <w:lang w:val="en-US" w:eastAsia="zh-CN" w:bidi="ar-SA"/>
        </w:rPr>
      </w:pPr>
      <w:r>
        <w:rPr>
          <w:rFonts w:hint="eastAsia" w:ascii="方正小标宋简体" w:hAnsi="Times New Roman" w:eastAsia="方正小标宋简体" w:cs="Times New Roman"/>
          <w:color w:val="000000"/>
          <w:sz w:val="44"/>
          <w:szCs w:val="44"/>
          <w:lang w:val="en-US" w:eastAsia="zh-CN" w:bidi="ar-SA"/>
        </w:rPr>
        <w:t>深圳市应急管理局2024年度应急管理领域</w:t>
      </w:r>
    </w:p>
    <w:p>
      <w:pPr>
        <w:keepNext w:val="0"/>
        <w:keepLines w:val="0"/>
        <w:pageBreakBefore w:val="0"/>
        <w:widowControl/>
        <w:kinsoku/>
        <w:wordWrap/>
        <w:overflowPunct/>
        <w:topLinePunct w:val="0"/>
        <w:autoSpaceDE/>
        <w:autoSpaceDN/>
        <w:bidi w:val="0"/>
        <w:adjustRightInd/>
        <w:snapToGrid/>
        <w:spacing w:before="0" w:beforeLines="0" w:line="560" w:lineRule="exact"/>
        <w:jc w:val="center"/>
        <w:textAlignment w:val="auto"/>
        <w:rPr>
          <w:rFonts w:hint="eastAsia" w:ascii="方正小标宋简体" w:hAnsi="Times New Roman" w:eastAsia="方正小标宋简体" w:cs="Times New Roman"/>
          <w:color w:val="000000"/>
          <w:sz w:val="44"/>
          <w:szCs w:val="44"/>
          <w:lang w:val="en-US" w:eastAsia="zh-CN" w:bidi="ar-SA"/>
        </w:rPr>
      </w:pPr>
      <w:r>
        <w:rPr>
          <w:rFonts w:hint="eastAsia" w:ascii="方正小标宋简体" w:hAnsi="Times New Roman" w:eastAsia="方正小标宋简体" w:cs="Times New Roman"/>
          <w:color w:val="000000"/>
          <w:sz w:val="44"/>
          <w:szCs w:val="44"/>
          <w:lang w:val="en-US" w:eastAsia="zh-CN" w:bidi="ar-SA"/>
        </w:rPr>
        <w:t>监督检查单位名单</w:t>
      </w:r>
    </w:p>
    <w:tbl>
      <w:tblPr>
        <w:tblStyle w:val="4"/>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5335"/>
        <w:gridCol w:w="1276"/>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671" w:type="dxa"/>
            <w:noWrap w:val="0"/>
            <w:vAlign w:val="center"/>
          </w:tcPr>
          <w:p>
            <w:pPr>
              <w:snapToGrid w:val="0"/>
              <w:spacing w:line="300" w:lineRule="exact"/>
              <w:jc w:val="center"/>
              <w:rPr>
                <w:rFonts w:ascii="黑体" w:hAnsi="黑体" w:eastAsia="黑体" w:cs="宋体"/>
                <w:color w:val="000000"/>
                <w:kern w:val="0"/>
                <w:sz w:val="24"/>
                <w:szCs w:val="32"/>
                <w:lang w:val="en-US" w:eastAsia="zh-CN" w:bidi="ar-SA"/>
              </w:rPr>
            </w:pPr>
            <w:r>
              <w:rPr>
                <w:rFonts w:hint="eastAsia" w:ascii="黑体" w:hAnsi="黑体" w:eastAsia="黑体" w:cs="宋体"/>
                <w:color w:val="000000"/>
                <w:kern w:val="0"/>
                <w:sz w:val="24"/>
                <w:szCs w:val="21"/>
                <w:lang w:val="en-US" w:eastAsia="zh-CN" w:bidi="ar-SA"/>
              </w:rPr>
              <w:t>序号</w:t>
            </w:r>
          </w:p>
        </w:tc>
        <w:tc>
          <w:tcPr>
            <w:tcW w:w="5335" w:type="dxa"/>
            <w:noWrap w:val="0"/>
            <w:vAlign w:val="center"/>
          </w:tcPr>
          <w:p>
            <w:pPr>
              <w:snapToGrid w:val="0"/>
              <w:spacing w:line="300" w:lineRule="exact"/>
              <w:jc w:val="center"/>
              <w:rPr>
                <w:rFonts w:ascii="黑体" w:hAnsi="黑体" w:eastAsia="黑体" w:cs="宋体"/>
                <w:color w:val="000000"/>
                <w:kern w:val="0"/>
                <w:sz w:val="24"/>
                <w:szCs w:val="32"/>
                <w:lang w:val="en-US" w:eastAsia="zh-CN" w:bidi="ar-SA"/>
              </w:rPr>
            </w:pPr>
            <w:r>
              <w:rPr>
                <w:rFonts w:hint="eastAsia" w:ascii="黑体" w:hAnsi="黑体" w:eastAsia="黑体" w:cs="宋体"/>
                <w:color w:val="000000"/>
                <w:kern w:val="0"/>
                <w:sz w:val="24"/>
                <w:szCs w:val="21"/>
                <w:lang w:val="en-US" w:eastAsia="zh-CN" w:bidi="ar-SA"/>
              </w:rPr>
              <w:t>监督检查重点单位</w:t>
            </w:r>
          </w:p>
        </w:tc>
        <w:tc>
          <w:tcPr>
            <w:tcW w:w="1276" w:type="dxa"/>
            <w:noWrap w:val="0"/>
            <w:vAlign w:val="center"/>
          </w:tcPr>
          <w:p>
            <w:pPr>
              <w:snapToGrid w:val="0"/>
              <w:spacing w:line="300" w:lineRule="exact"/>
              <w:jc w:val="center"/>
              <w:rPr>
                <w:rFonts w:ascii="黑体" w:hAnsi="黑体" w:eastAsia="黑体" w:cs="宋体"/>
                <w:color w:val="000000"/>
                <w:kern w:val="0"/>
                <w:sz w:val="24"/>
                <w:szCs w:val="21"/>
                <w:lang w:val="en-US" w:eastAsia="zh-CN" w:bidi="ar-SA"/>
              </w:rPr>
            </w:pPr>
            <w:r>
              <w:rPr>
                <w:rFonts w:hint="eastAsia" w:ascii="黑体" w:hAnsi="黑体" w:eastAsia="黑体" w:cs="宋体"/>
                <w:color w:val="000000"/>
                <w:kern w:val="0"/>
                <w:sz w:val="24"/>
                <w:szCs w:val="21"/>
                <w:lang w:val="en-US" w:eastAsia="zh-CN" w:bidi="ar-SA"/>
              </w:rPr>
              <w:t>所在区</w:t>
            </w:r>
          </w:p>
        </w:tc>
        <w:tc>
          <w:tcPr>
            <w:tcW w:w="2722" w:type="dxa"/>
            <w:noWrap w:val="0"/>
            <w:vAlign w:val="center"/>
          </w:tcPr>
          <w:p>
            <w:pPr>
              <w:snapToGrid w:val="0"/>
              <w:spacing w:line="300" w:lineRule="exact"/>
              <w:jc w:val="center"/>
              <w:rPr>
                <w:rFonts w:ascii="黑体" w:hAnsi="黑体" w:eastAsia="黑体" w:cs="宋体"/>
                <w:color w:val="000000"/>
                <w:kern w:val="0"/>
                <w:sz w:val="24"/>
                <w:szCs w:val="32"/>
                <w:lang w:val="en-US" w:eastAsia="zh-CN" w:bidi="ar-SA"/>
              </w:rPr>
            </w:pPr>
            <w:r>
              <w:rPr>
                <w:rFonts w:hint="eastAsia" w:ascii="黑体" w:hAnsi="黑体" w:eastAsia="黑体" w:cs="宋体"/>
                <w:b w:val="0"/>
                <w:bCs w:val="0"/>
                <w:color w:val="000000"/>
                <w:kern w:val="0"/>
                <w:sz w:val="24"/>
                <w:szCs w:val="32"/>
                <w:lang w:val="en-US" w:eastAsia="zh-CN" w:bidi="ar-SA"/>
              </w:rPr>
              <w:t>任务承担处室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（一）“两重点，一重大”</w:t>
            </w:r>
            <w:r>
              <w:rPr>
                <w:rFonts w:hint="eastAsia" w:ascii="仿宋_GB2312" w:hAnsi="黑体" w:cs="宋体"/>
                <w:b/>
                <w:bCs/>
                <w:color w:val="000000"/>
                <w:kern w:val="0"/>
                <w:sz w:val="24"/>
                <w:szCs w:val="32"/>
                <w:lang w:val="en-US" w:eastAsia="zh-CN" w:bidi="ar-SA"/>
              </w:rPr>
              <w:t>等</w:t>
            </w:r>
            <w:r>
              <w:rPr>
                <w:rFonts w:hint="eastAsia" w:ascii="仿宋_GB2312" w:hAnsi="黑体" w:eastAsia="仿宋_GB2312" w:cs="宋体"/>
                <w:b/>
                <w:bCs/>
                <w:color w:val="000000"/>
                <w:kern w:val="0"/>
                <w:sz w:val="24"/>
                <w:szCs w:val="32"/>
                <w:lang w:val="en-US" w:eastAsia="zh-CN" w:bidi="ar-SA"/>
              </w:rPr>
              <w:t>危化品生产</w:t>
            </w:r>
            <w:r>
              <w:rPr>
                <w:rFonts w:hint="eastAsia" w:ascii="仿宋_GB2312" w:hAnsi="黑体" w:cs="宋体"/>
                <w:b/>
                <w:bCs/>
                <w:color w:val="000000"/>
                <w:kern w:val="0"/>
                <w:sz w:val="24"/>
                <w:szCs w:val="32"/>
                <w:lang w:val="en-US" w:eastAsia="zh-CN" w:bidi="ar-SA"/>
              </w:rPr>
              <w:t>、</w:t>
            </w:r>
            <w:r>
              <w:rPr>
                <w:rFonts w:hint="eastAsia" w:ascii="仿宋_GB2312" w:hAnsi="黑体" w:eastAsia="仿宋_GB2312" w:cs="宋体"/>
                <w:b/>
                <w:bCs/>
                <w:color w:val="000000"/>
                <w:kern w:val="0"/>
                <w:sz w:val="24"/>
                <w:szCs w:val="32"/>
                <w:lang w:val="en-US" w:eastAsia="zh-CN" w:bidi="ar-SA"/>
              </w:rPr>
              <w:t>经营单位监督检查（3家）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eastAsia"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深圳市空港油料有限公司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危化品监管处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深圳市一亮顺平化工贸易有限公司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龙岗区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危化品监管处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3</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国家管网集团深圳天然气有限公司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大鹏新区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危化品监管处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（二）涉氨制冷生产经营单位监督检查（3家）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4</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深圳市瑞源冷链服务有限公司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 w:eastAsia="zh-CN" w:bidi="ar-SA"/>
              </w:rPr>
              <w:t>盐田区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5</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招商局国际冷链(深圳)有限公司（华南冷库）</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南山区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6</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深圳禾美冷链食品有限公司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（三）粉尘涉爆生产经营单位（粉尘作业场所30人以上）监督检查（6家）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7</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光隆音响（深圳）有限公司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8</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兄弟高科技（深圳）有限公司宝龙分公司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龙岗区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9</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顺景园精密铸造（深圳）有限公司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10</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知音卡片礼品（深圳）有限公司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11</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野宝车料工业（深圳）有限公司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坪山区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12</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深圳市喜德盛自行车股份有限公司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21"/>
                <w:lang w:val="en-US" w:eastAsia="zh-CN" w:bidi="ar-SA"/>
              </w:rPr>
              <w:t>光明区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（四）深井铸造生产经营单位监督检查（1家）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13</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威可楷爱普建材有限公司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（五）上年度发生亡人事故生产经营单位责任追究和整改措施意见落实情况回头看监督检查（4家）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14</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日晟太阳能制品（深圳）有限公司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21"/>
                <w:lang w:val="en" w:eastAsia="zh-CN" w:bidi="ar-SA"/>
              </w:rPr>
            </w:pPr>
            <w:r>
              <w:rPr>
                <w:rFonts w:hint="eastAsia" w:ascii="仿宋_GB2312" w:hAnsi="黑体" w:eastAsia="仿宋_GB2312" w:cs="宋体"/>
                <w:color w:val="000000"/>
                <w:kern w:val="0"/>
                <w:sz w:val="24"/>
                <w:szCs w:val="21"/>
                <w:lang w:val="en" w:eastAsia="zh-CN" w:bidi="ar-SA"/>
              </w:rPr>
              <w:t>宝安区</w:t>
            </w:r>
          </w:p>
        </w:tc>
        <w:tc>
          <w:tcPr>
            <w:tcW w:w="2722"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调查和监测预警处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15</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深圳市联铭发科技有限公司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调查和监测预警处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16</w:t>
            </w:r>
          </w:p>
        </w:tc>
        <w:tc>
          <w:tcPr>
            <w:tcW w:w="5335" w:type="dxa"/>
            <w:noWrap w:val="0"/>
            <w:vAlign w:val="center"/>
          </w:tcPr>
          <w:p>
            <w:pPr>
              <w:snapToGrid w:val="0"/>
              <w:spacing w:line="300" w:lineRule="exact"/>
              <w:jc w:val="center"/>
              <w:rPr>
                <w:color w:val="000000"/>
              </w:rPr>
            </w:pPr>
            <w:r>
              <w:rPr>
                <w:rFonts w:hint="eastAsia" w:ascii="仿宋_GB2312" w:hAnsi="黑体" w:eastAsia="仿宋_GB2312" w:cs="宋体"/>
                <w:color w:val="000000"/>
                <w:kern w:val="0"/>
                <w:sz w:val="24"/>
                <w:szCs w:val="32"/>
                <w:lang w:val="en-US" w:eastAsia="zh-CN" w:bidi="ar-SA"/>
              </w:rPr>
              <w:t>明辉泰包装材料（深圳）有限公司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龙岗区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调查和监测预警处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17</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富联裕展（深圳）科技有限公司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调查和监测预警处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（六）上年度被罚款十万以上生产经营单位监督检查（2家）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18</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深圳松华金属制品有限公司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19</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深圳市瑞云峰实业有限公司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（七）上年度被罚款两次以上生产经营单位监督检查（2家）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20</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深圳市宝安区泰和铝制品厂</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安全监管和执法处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21</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深圳市亨达兴工业气体有限公司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US"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危化品监管处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（八）安全评价和培训机构监督检查（4家）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22</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深圳市宝安区东方职业技能培训中心</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21"/>
                <w:lang w:val="en-US"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default" w:ascii="仿宋_GB2312" w:hAnsi="黑体" w:eastAsia="仿宋_GB2312" w:cs="宋体"/>
                <w:color w:val="000000"/>
                <w:kern w:val="0"/>
                <w:sz w:val="24"/>
                <w:szCs w:val="32"/>
                <w:lang w:val="en" w:eastAsia="zh-CN" w:bidi="ar-SA"/>
              </w:rPr>
              <w:t>基层基础</w:t>
            </w:r>
            <w:r>
              <w:rPr>
                <w:rFonts w:hint="eastAsia" w:ascii="仿宋_GB2312" w:hAnsi="黑体" w:eastAsia="仿宋_GB2312" w:cs="宋体"/>
                <w:color w:val="000000"/>
                <w:kern w:val="0"/>
                <w:sz w:val="24"/>
                <w:szCs w:val="32"/>
                <w:lang w:val="en-US" w:eastAsia="zh-CN"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23</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深圳市世和安全技术咨询有限公司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21"/>
                <w:lang w:val="en-US" w:eastAsia="zh-CN" w:bidi="ar-SA"/>
              </w:rPr>
              <w:t>龙岗区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default" w:ascii="仿宋_GB2312" w:hAnsi="黑体" w:eastAsia="仿宋_GB2312" w:cs="宋体"/>
                <w:color w:val="000000"/>
                <w:kern w:val="0"/>
                <w:sz w:val="24"/>
                <w:szCs w:val="32"/>
                <w:lang w:val="en" w:eastAsia="zh-CN" w:bidi="ar-SA"/>
              </w:rPr>
              <w:t>基层基础</w:t>
            </w:r>
            <w:r>
              <w:rPr>
                <w:rFonts w:hint="eastAsia" w:ascii="仿宋_GB2312" w:hAnsi="黑体" w:eastAsia="仿宋_GB2312" w:cs="宋体"/>
                <w:color w:val="000000"/>
                <w:kern w:val="0"/>
                <w:sz w:val="24"/>
                <w:szCs w:val="32"/>
                <w:lang w:val="en-US" w:eastAsia="zh-CN"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24</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深圳市新安安全培训有限公司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21"/>
                <w:lang w:val="en-US"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default" w:ascii="仿宋_GB2312" w:hAnsi="黑体" w:eastAsia="仿宋_GB2312" w:cs="宋体"/>
                <w:color w:val="000000"/>
                <w:kern w:val="0"/>
                <w:sz w:val="24"/>
                <w:szCs w:val="32"/>
                <w:lang w:val="en" w:eastAsia="zh-CN" w:bidi="ar-SA"/>
              </w:rPr>
              <w:t>基层基础</w:t>
            </w:r>
            <w:r>
              <w:rPr>
                <w:rFonts w:hint="eastAsia" w:ascii="仿宋_GB2312" w:hAnsi="黑体" w:eastAsia="仿宋_GB2312" w:cs="宋体"/>
                <w:color w:val="000000"/>
                <w:kern w:val="0"/>
                <w:sz w:val="24"/>
                <w:szCs w:val="32"/>
                <w:lang w:val="en-US" w:eastAsia="zh-CN"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25</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深圳中质安股份有限公司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21"/>
                <w:lang w:val="en-US" w:eastAsia="zh-CN" w:bidi="ar-SA"/>
              </w:rPr>
              <w:t>光明区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default" w:ascii="仿宋_GB2312" w:hAnsi="黑体" w:eastAsia="仿宋_GB2312" w:cs="宋体"/>
                <w:color w:val="000000"/>
                <w:kern w:val="0"/>
                <w:sz w:val="24"/>
                <w:szCs w:val="32"/>
                <w:lang w:val="en" w:eastAsia="zh-CN" w:bidi="ar-SA"/>
              </w:rPr>
              <w:t>基层基础</w:t>
            </w:r>
            <w:r>
              <w:rPr>
                <w:rFonts w:hint="eastAsia" w:ascii="仿宋_GB2312" w:hAnsi="黑体" w:eastAsia="仿宋_GB2312" w:cs="宋体"/>
                <w:color w:val="000000"/>
                <w:kern w:val="0"/>
                <w:sz w:val="24"/>
                <w:szCs w:val="32"/>
                <w:lang w:val="en-US" w:eastAsia="zh-CN" w:bidi="ar-S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both"/>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（九）防洪设施监督检查（1家）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21"/>
                <w:lang w:val="en-US" w:eastAsia="zh-CN" w:bidi="ar-SA"/>
              </w:rPr>
            </w:pPr>
            <w:r>
              <w:rPr>
                <w:rFonts w:hint="eastAsia" w:ascii="仿宋_GB2312" w:hAnsi="黑体" w:eastAsia="仿宋_GB2312" w:cs="宋体"/>
                <w:color w:val="000000"/>
                <w:kern w:val="0"/>
                <w:sz w:val="24"/>
                <w:szCs w:val="21"/>
                <w:lang w:val="en-US" w:eastAsia="zh-CN" w:bidi="ar-SA"/>
              </w:rPr>
              <w:t>26</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高峰水库</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龙华区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防灾减灾处（地震处）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（十）景区、自然保护区、公园</w:t>
            </w:r>
            <w:r>
              <w:rPr>
                <w:rFonts w:hint="eastAsia" w:ascii="仿宋_GB2312" w:hAnsi="黑体" w:cs="宋体"/>
                <w:b/>
                <w:bCs/>
                <w:color w:val="000000"/>
                <w:kern w:val="0"/>
                <w:sz w:val="24"/>
                <w:szCs w:val="32"/>
                <w:lang w:val="en-US" w:eastAsia="zh-CN" w:bidi="ar-SA"/>
              </w:rPr>
              <w:t>或</w:t>
            </w:r>
            <w:r>
              <w:rPr>
                <w:rFonts w:hint="eastAsia" w:ascii="仿宋_GB2312" w:hAnsi="黑体" w:eastAsia="仿宋_GB2312" w:cs="宋体"/>
                <w:b/>
                <w:bCs/>
                <w:color w:val="000000"/>
                <w:kern w:val="0"/>
                <w:sz w:val="24"/>
                <w:szCs w:val="32"/>
                <w:lang w:val="en-US" w:eastAsia="zh-CN" w:bidi="ar-SA"/>
              </w:rPr>
              <w:t>游乐场等场所防汛监督检查（1家）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b/>
                <w:bCs/>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27</w:t>
            </w:r>
          </w:p>
        </w:tc>
        <w:tc>
          <w:tcPr>
            <w:tcW w:w="5335" w:type="dxa"/>
            <w:noWrap w:val="0"/>
            <w:vAlign w:val="center"/>
          </w:tcPr>
          <w:p>
            <w:pPr>
              <w:snapToGrid w:val="0"/>
              <w:spacing w:line="300" w:lineRule="exact"/>
              <w:jc w:val="center"/>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color w:val="000000"/>
                <w:kern w:val="0"/>
                <w:sz w:val="24"/>
                <w:szCs w:val="21"/>
                <w:lang w:val="en-US" w:eastAsia="zh-CN" w:bidi="ar-SA"/>
              </w:rPr>
              <w:t>人才公园</w:t>
            </w:r>
          </w:p>
        </w:tc>
        <w:tc>
          <w:tcPr>
            <w:tcW w:w="1276" w:type="dxa"/>
            <w:noWrap w:val="0"/>
            <w:vAlign w:val="center"/>
          </w:tcPr>
          <w:p>
            <w:pPr>
              <w:snapToGrid w:val="0"/>
              <w:spacing w:line="300" w:lineRule="exact"/>
              <w:jc w:val="center"/>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b w:val="0"/>
                <w:bCs w:val="0"/>
                <w:color w:val="000000"/>
                <w:kern w:val="0"/>
                <w:sz w:val="24"/>
                <w:szCs w:val="32"/>
                <w:lang w:val="en-US" w:eastAsia="zh-CN" w:bidi="ar-SA"/>
              </w:rPr>
              <w:t>南山区</w:t>
            </w:r>
          </w:p>
        </w:tc>
        <w:tc>
          <w:tcPr>
            <w:tcW w:w="2722" w:type="dxa"/>
            <w:noWrap w:val="0"/>
            <w:vAlign w:val="center"/>
          </w:tcPr>
          <w:p>
            <w:pPr>
              <w:snapToGrid w:val="0"/>
              <w:spacing w:line="300" w:lineRule="exact"/>
              <w:jc w:val="left"/>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防灾减灾处（地震处）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（十一）地震监测设施监督检查（1家）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28</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福永中学地震监测台站</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宝安区</w:t>
            </w:r>
          </w:p>
        </w:tc>
        <w:tc>
          <w:tcPr>
            <w:tcW w:w="2722" w:type="dxa"/>
            <w:noWrap w:val="0"/>
            <w:vAlign w:val="center"/>
          </w:tcPr>
          <w:p>
            <w:pPr>
              <w:snapToGrid w:val="0"/>
              <w:spacing w:line="300" w:lineRule="exact"/>
              <w:jc w:val="left"/>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防灾减灾处（地震处）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（十二）地震应急准备监督检查（1家）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29</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中心公园</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福田区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防灾减灾处（地震处）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b/>
                <w:bCs/>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（十三）抗震设防监督检查（1家）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30</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龙岗区妇幼保健院</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龙岗区</w:t>
            </w:r>
          </w:p>
        </w:tc>
        <w:tc>
          <w:tcPr>
            <w:tcW w:w="2722" w:type="dxa"/>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防灾减灾处（地震处）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04" w:type="dxa"/>
            <w:gridSpan w:val="4"/>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b/>
                <w:bCs/>
                <w:color w:val="000000"/>
                <w:kern w:val="0"/>
                <w:sz w:val="24"/>
                <w:szCs w:val="32"/>
                <w:lang w:val="en-US" w:eastAsia="zh-CN" w:bidi="ar-SA"/>
              </w:rPr>
              <w:t>（十四）应急抢险监督检查（2家）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31</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深圳市安元达电子有限公司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宝安区</w:t>
            </w:r>
          </w:p>
        </w:tc>
        <w:tc>
          <w:tcPr>
            <w:tcW w:w="2722"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应急指挥和预案管理处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noWrap w:val="0"/>
            <w:vAlign w:val="center"/>
          </w:tcPr>
          <w:p>
            <w:pPr>
              <w:snapToGrid w:val="0"/>
              <w:spacing w:line="300" w:lineRule="exact"/>
              <w:jc w:val="center"/>
              <w:rPr>
                <w:rFonts w:hint="default"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32</w:t>
            </w:r>
          </w:p>
        </w:tc>
        <w:tc>
          <w:tcPr>
            <w:tcW w:w="5335"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深圳超能电路板有限公司</w:t>
            </w:r>
          </w:p>
        </w:tc>
        <w:tc>
          <w:tcPr>
            <w:tcW w:w="1276" w:type="dxa"/>
            <w:noWrap w:val="0"/>
            <w:vAlign w:val="center"/>
          </w:tcPr>
          <w:p>
            <w:pPr>
              <w:snapToGrid w:val="0"/>
              <w:spacing w:line="300" w:lineRule="exact"/>
              <w:jc w:val="center"/>
              <w:rPr>
                <w:rFonts w:hint="eastAsia" w:ascii="仿宋_GB2312" w:hAnsi="黑体" w:eastAsia="仿宋_GB2312" w:cs="宋体"/>
                <w:color w:val="000000"/>
                <w:kern w:val="0"/>
                <w:sz w:val="24"/>
                <w:szCs w:val="32"/>
                <w:lang w:val="en" w:eastAsia="zh-CN" w:bidi="ar-SA"/>
              </w:rPr>
            </w:pPr>
            <w:r>
              <w:rPr>
                <w:rFonts w:hint="eastAsia" w:ascii="仿宋_GB2312" w:hAnsi="黑体" w:eastAsia="仿宋_GB2312" w:cs="宋体"/>
                <w:color w:val="000000"/>
                <w:kern w:val="0"/>
                <w:sz w:val="24"/>
                <w:szCs w:val="32"/>
                <w:lang w:val="en" w:eastAsia="zh-CN" w:bidi="ar-SA"/>
              </w:rPr>
              <w:t>坪山区</w:t>
            </w:r>
          </w:p>
        </w:tc>
        <w:tc>
          <w:tcPr>
            <w:tcW w:w="2722" w:type="dxa"/>
            <w:noWrap w:val="0"/>
            <w:vAlign w:val="center"/>
          </w:tcPr>
          <w:p>
            <w:pPr>
              <w:snapToGrid w:val="0"/>
              <w:spacing w:line="300" w:lineRule="exact"/>
              <w:jc w:val="left"/>
              <w:rPr>
                <w:rFonts w:hint="eastAsia" w:ascii="仿宋_GB2312" w:hAnsi="黑体" w:eastAsia="仿宋_GB2312" w:cs="宋体"/>
                <w:color w:val="000000"/>
                <w:kern w:val="0"/>
                <w:sz w:val="24"/>
                <w:szCs w:val="32"/>
                <w:lang w:val="en-US" w:eastAsia="zh-CN" w:bidi="ar-SA"/>
              </w:rPr>
            </w:pPr>
            <w:r>
              <w:rPr>
                <w:rFonts w:hint="eastAsia" w:ascii="仿宋_GB2312" w:hAnsi="黑体" w:eastAsia="仿宋_GB2312" w:cs="宋体"/>
                <w:color w:val="000000"/>
                <w:kern w:val="0"/>
                <w:sz w:val="24"/>
                <w:szCs w:val="32"/>
                <w:lang w:val="en-US" w:eastAsia="zh-CN" w:bidi="ar-SA"/>
              </w:rPr>
              <w:t>应急指挥和预案管理处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3136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_GB2312" w:cs="宋体"/>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Normal Indent"/>
    <w:basedOn w:val="1"/>
    <w:next w:val="1"/>
    <w:qFormat/>
    <w:uiPriority w:val="0"/>
    <w:pPr>
      <w:ind w:firstLine="420"/>
    </w:pPr>
    <w:rPr>
      <w:rFonts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2024-03-06T08:03:13Z</dcterms:created>
  <dc:creator>东冬</dc:creator>
  <cp:lastModifiedBy>DonnyChiang</cp:lastModifiedBy>
  <dcterms:modified xsi:type="dcterms:W3CDTF">2024-03-06T08:03:23Z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6E59233E3AE34C68A1B928FBBDA314BE_12</vt:lpwstr>
  </property>
</Properties>
</file>