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jc w:val="left"/>
        <w:rPr>
          <w:rStyle w:val="7"/>
          <w:rFonts w:hint="eastAsia" w:ascii="黑体" w:hAnsi="黑体" w:eastAsia="黑体" w:cs="黑体"/>
          <w:b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Cs w:val="32"/>
        </w:rPr>
        <w:t>附件2</w:t>
      </w:r>
    </w:p>
    <w:p>
      <w:pPr>
        <w:jc w:val="left"/>
        <w:rPr>
          <w:rStyle w:val="7"/>
          <w:rFonts w:ascii="方正小标宋简体" w:hAnsi="黑体" w:eastAsia="方正小标宋简体"/>
          <w:sz w:val="40"/>
        </w:rPr>
      </w:pPr>
      <w:r>
        <w:rPr>
          <w:rStyle w:val="7"/>
          <w:rFonts w:ascii="方正小标宋简体" w:hAnsi="黑体" w:eastAsia="方正小标宋简体"/>
          <w:sz w:val="40"/>
          <w:szCs w:val="32"/>
        </w:rPr>
        <w:t>油气长输管道周边建设工程涉动土作业确认表</w:t>
      </w:r>
    </w:p>
    <w:tbl>
      <w:tblPr>
        <w:tblStyle w:val="5"/>
        <w:tblW w:w="1017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232"/>
        <w:gridCol w:w="1149"/>
        <w:gridCol w:w="290"/>
        <w:gridCol w:w="1224"/>
        <w:gridCol w:w="193"/>
        <w:gridCol w:w="1225"/>
        <w:gridCol w:w="1417"/>
        <w:gridCol w:w="14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工程项目名称</w:t>
            </w:r>
          </w:p>
        </w:tc>
        <w:tc>
          <w:tcPr>
            <w:tcW w:w="84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工程地址</w:t>
            </w:r>
          </w:p>
        </w:tc>
        <w:tc>
          <w:tcPr>
            <w:tcW w:w="84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工程内容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道路改造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基础探查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基坑开挖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护坡保护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穿越、顶管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动土工况概述</w:t>
            </w:r>
          </w:p>
        </w:tc>
        <w:tc>
          <w:tcPr>
            <w:tcW w:w="40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distribute"/>
              <w:rPr>
                <w:rStyle w:val="7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动土时间</w:t>
            </w:r>
          </w:p>
        </w:tc>
        <w:tc>
          <w:tcPr>
            <w:tcW w:w="2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Style w:val="7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年     月    </w:t>
            </w:r>
            <w:r>
              <w:rPr>
                <w:rStyle w:val="7"/>
                <w:sz w:val="21"/>
                <w:szCs w:val="21"/>
              </w:rPr>
              <w:t xml:space="preserve"> 日</w:t>
            </w:r>
            <w:r>
              <w:rPr>
                <w:rStyle w:val="7"/>
                <w:b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1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center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确认内容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1.是否签署地下油气管道保护协议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2.是否人工查明地下油气管道分布情况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3.是否制定地下油气管线保护方案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4.是否配备油气管道保护工程师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5.是否实施《动土令》制度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6.是否做好作业技术交底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7.是否已联系油气长输管道企业参加动土活动的旁站指导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8.油气管道是否已采取硬隔离措施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9.油气管道标志标识是否清晰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ascii="宋体" w:hAnsi="宋体"/>
                <w:sz w:val="21"/>
                <w:szCs w:val="21"/>
              </w:rPr>
              <w:t>10.是否制定油气管道保护应急预案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86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rFonts w:ascii="仿宋_GB2312"/>
                <w:sz w:val="21"/>
                <w:szCs w:val="21"/>
              </w:rPr>
              <w:t>11.是否存在其他问题：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是 /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01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动土作业确定说明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01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/>
              <w:rPr>
                <w:rStyle w:val="7"/>
                <w:color w:val="000000"/>
                <w:sz w:val="21"/>
                <w:szCs w:val="21"/>
              </w:rPr>
            </w:pPr>
            <w:r>
              <w:rPr>
                <w:rStyle w:val="7"/>
                <w:color w:val="000000"/>
                <w:sz w:val="21"/>
                <w:szCs w:val="21"/>
              </w:rPr>
              <w:t>□ 经现场确认，建设主体、施工单位、监理单位、油气管道企业已严格落实上述要求，且已现场核实，同意动土施工。</w:t>
            </w:r>
          </w:p>
          <w:p>
            <w:pPr>
              <w:ind w:firstLine="420"/>
              <w:rPr>
                <w:rStyle w:val="7"/>
                <w:sz w:val="21"/>
                <w:szCs w:val="21"/>
              </w:rPr>
            </w:pPr>
            <w:r>
              <w:rPr>
                <w:rStyle w:val="7"/>
                <w:color w:val="000000"/>
                <w:sz w:val="21"/>
                <w:szCs w:val="21"/>
              </w:rPr>
              <w:t>□ 经现场确认，建设主体、施工单位、监理单位、油气管道企业对上述要求落实不到位，不同意动土施工。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01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 w:val="0"/>
            <w:vAlign w:val="center"/>
          </w:tcPr>
          <w:p>
            <w:pPr>
              <w:jc w:val="center"/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签字确认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建设项目监管单位：</w:t>
            </w:r>
          </w:p>
          <w:p>
            <w:pPr>
              <w:rPr>
                <w:rStyle w:val="7"/>
                <w:b/>
                <w:sz w:val="21"/>
                <w:szCs w:val="21"/>
              </w:rPr>
            </w:pP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rFonts w:hint="eastAsia"/>
                <w:b/>
                <w:sz w:val="21"/>
                <w:szCs w:val="21"/>
              </w:rPr>
              <w:t>辖区油气长输管道保护部门：</w:t>
            </w:r>
          </w:p>
          <w:p>
            <w:pPr>
              <w:rPr>
                <w:rStyle w:val="7"/>
                <w:b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jc w:val="left"/>
              <w:rPr>
                <w:rStyle w:val="7"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街道办：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油气管道企业：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建设单位：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施工单位：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color w:val="000000"/>
                <w:sz w:val="21"/>
                <w:szCs w:val="21"/>
              </w:rPr>
              <w:t>监理单位：</w:t>
            </w: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Style w:val="7"/>
                <w:b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 xml:space="preserve">电话： </w:t>
            </w:r>
          </w:p>
          <w:p>
            <w:pPr>
              <w:pStyle w:val="2"/>
              <w:rPr>
                <w:rStyle w:val="7"/>
              </w:rPr>
            </w:pPr>
          </w:p>
          <w:p>
            <w:pPr>
              <w:rPr>
                <w:rStyle w:val="7"/>
                <w:b/>
                <w:color w:val="000000"/>
                <w:sz w:val="21"/>
                <w:szCs w:val="21"/>
              </w:rPr>
            </w:pPr>
            <w:r>
              <w:rPr>
                <w:rStyle w:val="7"/>
                <w:b/>
                <w:sz w:val="21"/>
                <w:szCs w:val="21"/>
              </w:rPr>
              <w:t>日期：</w:t>
            </w:r>
          </w:p>
        </w:tc>
      </w:tr>
    </w:tbl>
    <w:p>
      <w:pPr>
        <w:rPr>
          <w:rStyle w:val="7"/>
          <w:rFonts w:ascii="宋体" w:hAnsi="宋体" w:eastAsia="宋体"/>
          <w:b/>
          <w:sz w:val="22"/>
        </w:rPr>
        <w:sectPr>
          <w:footerReference r:id="rId3" w:type="even"/>
          <w:pgSz w:w="11906" w:h="16838"/>
          <w:pgMar w:top="1134" w:right="1797" w:bottom="1134" w:left="179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Style w:val="7"/>
          <w:rFonts w:ascii="宋体" w:hAnsi="宋体" w:eastAsia="宋体"/>
          <w:b/>
          <w:sz w:val="22"/>
        </w:rPr>
        <w:t>备注：</w:t>
      </w:r>
      <w:r>
        <w:rPr>
          <w:rStyle w:val="7"/>
          <w:rFonts w:ascii="仿宋_GB2312" w:hAnsi="仿宋_GB2312"/>
          <w:sz w:val="22"/>
          <w:szCs w:val="32"/>
        </w:rPr>
        <w:t>本表格签字人员由各单位委派。针对同一个工地涉及</w:t>
      </w:r>
      <w:r>
        <w:rPr>
          <w:rStyle w:val="7"/>
          <w:rFonts w:hint="eastAsia" w:ascii="仿宋_GB2312" w:hAnsi="仿宋_GB2312"/>
          <w:sz w:val="22"/>
          <w:szCs w:val="32"/>
          <w:lang w:eastAsia="zh-CN"/>
        </w:rPr>
        <w:t>油气</w:t>
      </w:r>
      <w:r>
        <w:rPr>
          <w:rStyle w:val="7"/>
          <w:rFonts w:ascii="仿宋_GB2312" w:hAnsi="仿宋_GB2312"/>
          <w:sz w:val="22"/>
          <w:szCs w:val="32"/>
        </w:rPr>
        <w:t>管道周边</w:t>
      </w:r>
      <w:r>
        <w:rPr>
          <w:rStyle w:val="7"/>
          <w:rFonts w:ascii="仿宋_GB2312" w:hAnsi="仿宋_GB2312"/>
          <w:b/>
          <w:sz w:val="22"/>
          <w:szCs w:val="32"/>
        </w:rPr>
        <w:t>工况改变、多次动土、单位变更</w:t>
      </w:r>
      <w:r>
        <w:rPr>
          <w:rStyle w:val="7"/>
          <w:rFonts w:ascii="仿宋_GB2312" w:hAnsi="仿宋_GB2312"/>
          <w:sz w:val="22"/>
          <w:szCs w:val="32"/>
        </w:rPr>
        <w:t>等情况，建设单位应组织各相关单位重新签订</w:t>
      </w:r>
      <w:r>
        <w:rPr>
          <w:rStyle w:val="7"/>
          <w:rFonts w:ascii="仿宋_GB2312"/>
          <w:sz w:val="22"/>
          <w:szCs w:val="32"/>
        </w:rPr>
        <w:t>《涉动土作业确认表》</w:t>
      </w:r>
      <w:r>
        <w:rPr>
          <w:rStyle w:val="7"/>
          <w:rFonts w:ascii="仿宋_GB2312" w:hAnsi="仿宋_GB2312"/>
          <w:sz w:val="22"/>
          <w:szCs w:val="32"/>
        </w:rPr>
        <w:t>。该表格</w:t>
      </w:r>
      <w:r>
        <w:rPr>
          <w:rStyle w:val="7"/>
          <w:rFonts w:ascii="仿宋_GB2312" w:hAnsi="仿宋_GB2312"/>
          <w:b/>
          <w:sz w:val="22"/>
          <w:szCs w:val="32"/>
        </w:rPr>
        <w:t>一式四联</w:t>
      </w:r>
      <w:r>
        <w:rPr>
          <w:rStyle w:val="7"/>
          <w:rFonts w:ascii="仿宋_GB2312" w:hAnsi="仿宋_GB2312"/>
          <w:sz w:val="22"/>
          <w:szCs w:val="32"/>
        </w:rPr>
        <w:t>，</w:t>
      </w:r>
      <w:r>
        <w:rPr>
          <w:rStyle w:val="7"/>
          <w:rFonts w:ascii="仿宋_GB2312" w:hAnsi="仿宋_GB2312"/>
          <w:b/>
          <w:sz w:val="22"/>
          <w:szCs w:val="32"/>
        </w:rPr>
        <w:t>建设项目监管单位、建设单位、施工单位、</w:t>
      </w:r>
      <w:r>
        <w:rPr>
          <w:rStyle w:val="7"/>
          <w:rFonts w:hint="eastAsia" w:ascii="仿宋_GB2312" w:hAnsi="仿宋_GB2312"/>
          <w:b/>
          <w:sz w:val="22"/>
          <w:szCs w:val="32"/>
        </w:rPr>
        <w:t>油气管道企业</w:t>
      </w:r>
      <w:r>
        <w:rPr>
          <w:rStyle w:val="7"/>
          <w:rFonts w:ascii="仿宋_GB2312" w:hAnsi="仿宋_GB2312"/>
          <w:sz w:val="22"/>
          <w:szCs w:val="32"/>
        </w:rPr>
        <w:t>各执一份存档。</w:t>
      </w:r>
    </w:p>
    <w:p>
      <w:pPr>
        <w:spacing w:after="289" w:line="400" w:lineRule="exact"/>
        <w:jc w:val="center"/>
        <w:rPr>
          <w:rStyle w:val="7"/>
          <w:rFonts w:ascii="方正小标宋简体" w:hAnsi="黑体" w:eastAsia="方正小标宋简体"/>
          <w:sz w:val="40"/>
          <w:szCs w:val="32"/>
        </w:rPr>
      </w:pPr>
      <w:r>
        <w:rPr>
          <w:rStyle w:val="7"/>
          <w:rFonts w:ascii="方正小标宋简体" w:hAnsi="黑体" w:eastAsia="方正小标宋简体"/>
          <w:sz w:val="40"/>
          <w:szCs w:val="32"/>
        </w:rPr>
        <w:t>动土作业确认要求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一、100%签署地下管线保护协议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开工前，建设、施工、监理单位必须与油气管道企业签订地下管线安全保护协议，明确各方责任主体的主体责任，做到管线保护工作责任清楚、任务明确。并与产权单位或管理单位加强联系沟通，建立联动机制，齐抓共管，制定好地下管线保护措施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二、100%查明地下管线分布情况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设计阶段及开工前，建设单位必须到档案部门、规划国土部门、地下管线（设施）产权单位（管理单位）查询并收集施工范围及施工影响范围内所有地下管线、设施现状资料。无现状资料或位置难以判断的，建设单位必须委托有资质的单位进行探测，确保100%查明地下管线分布情况，管线不明不施工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三、100%制定地下管线保护方案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开工前，建设单位必须与油气管道企业协商制定地下管线保护方案，并督促施工单位编制专项施工保护方案，获得油气管道企业认可。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四、100%配备管线工程师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地铁建设、施工、监理单位均应设置施工现场管线保护工程师，建立现场管线平面图和管线台账。建设单位管线工程师对现场涉及地下管线的作业进行协调和指挥；施工单位管线保护工程师组织人员现场踏勘、核实，充分了解施工现场及毗邻区域的地下管线情况，认真做好交底、现场监护工作；监理单位管线保护工程师应参与管线保护工作全过程，对涉及管线区域的施工活动进行旁站监理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五、100%实施《动土令》制度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建立动土作业《动土令》制度，施工现场动土作业前，建设、监理、施工单共同签署《动土令》，对管线安全再确认。签署各方，特别是管线工程师对开工前管线的确认、施工过程中的风险把控等环节负主要责任。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六、100%做好作业技术交底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建设单位必须组织油气管道企业进行现场技术交底（书面、影像方式）；施工单位在施工或动土作业前，向各钻探班组或机械操作人员、施工作业人员进行安全教育和安全技术交底，施工期间机械操作人员发生变化的，施工单位应在其上岗作业前再次交底，确保地下管线保护的各项要求传达到一线作业人员，并在施工过程中有效落实管理人员带班作业制度。</w:t>
      </w:r>
    </w:p>
    <w:p>
      <w:pPr>
        <w:spacing w:line="300" w:lineRule="exact"/>
        <w:ind w:firstLine="420" w:firstLineChars="200"/>
        <w:rPr>
          <w:rStyle w:val="7"/>
          <w:rFonts w:ascii="黑体" w:hAnsi="黑体" w:eastAsia="黑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七、100%落实动土旁站指导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动土前，建设单位必须与相应的油气管道企业协商旁站指导事宜，并通知油气管道企业工作人员到场旁站指导动土施工作业，直到动土施工作业完成。</w:t>
      </w:r>
    </w:p>
    <w:p>
      <w:pPr>
        <w:spacing w:line="300" w:lineRule="exact"/>
        <w:ind w:firstLine="420" w:firstLineChars="200"/>
        <w:rPr>
          <w:rStyle w:val="7"/>
          <w:rFonts w:ascii="黑体" w:hAnsi="黑体" w:eastAsia="黑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八、100%采取硬隔离措施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动土前，建设单位、施工单位对地下管线（设施）采取硬隔离措施，通过铺设金属钢板、金属防护网等方式采取硬隔离。</w:t>
      </w:r>
    </w:p>
    <w:p>
      <w:pPr>
        <w:spacing w:line="300" w:lineRule="exact"/>
        <w:ind w:firstLine="420" w:firstLineChars="200"/>
        <w:rPr>
          <w:rStyle w:val="7"/>
          <w:rFonts w:ascii="黑体" w:hAnsi="黑体" w:eastAsia="黑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九、100%油气管道周边警示标识清晰明显</w:t>
      </w:r>
    </w:p>
    <w:p>
      <w:pPr>
        <w:spacing w:line="300" w:lineRule="exact"/>
        <w:ind w:firstLine="420" w:firstLineChars="200"/>
        <w:rPr>
          <w:rStyle w:val="7"/>
          <w:rFonts w:ascii="仿宋_GB2312" w:hAnsi="宋体"/>
          <w:sz w:val="21"/>
          <w:szCs w:val="32"/>
        </w:rPr>
      </w:pPr>
      <w:r>
        <w:rPr>
          <w:rStyle w:val="7"/>
          <w:rFonts w:ascii="仿宋_GB2312" w:hAnsi="宋体"/>
          <w:sz w:val="21"/>
          <w:szCs w:val="32"/>
        </w:rPr>
        <w:t>油气管道企业要加强油气管道警示标识管理，对油气管道周边第三方工地、人员密集等重点区域要增设立体警示标识，通过拉警示带、张贴警示标语、采取硬隔离标识等措施提升警示效果。</w:t>
      </w:r>
    </w:p>
    <w:p>
      <w:pPr>
        <w:spacing w:line="300" w:lineRule="exact"/>
        <w:ind w:firstLine="420" w:firstLineChars="200"/>
        <w:rPr>
          <w:rStyle w:val="7"/>
          <w:rFonts w:ascii="黑体" w:hAnsi="黑体" w:eastAsia="黑体"/>
          <w:sz w:val="21"/>
          <w:szCs w:val="32"/>
        </w:rPr>
      </w:pPr>
      <w:r>
        <w:rPr>
          <w:rStyle w:val="7"/>
          <w:rFonts w:ascii="黑体" w:hAnsi="黑体" w:eastAsia="黑体"/>
          <w:sz w:val="21"/>
          <w:szCs w:val="32"/>
        </w:rPr>
        <w:t>十、100%制定制定管道保护应急预案</w:t>
      </w:r>
    </w:p>
    <w:p>
      <w:pPr>
        <w:rPr>
          <w:rFonts w:hint="eastAsia" w:eastAsia="仿宋_GB2312"/>
          <w:lang w:eastAsia="zh-CN"/>
        </w:rPr>
      </w:pPr>
      <w:r>
        <w:rPr>
          <w:rStyle w:val="7"/>
          <w:rFonts w:ascii="仿宋_GB2312" w:hAnsi="宋体"/>
          <w:sz w:val="21"/>
          <w:szCs w:val="32"/>
        </w:rPr>
        <w:t>建设单位要组织施工单位、监理单位与油气管道企业协商制定油气管道保护应急预案，明确施工现场及周边油气管道及控制阀门分布情况，要将应急预案纳入现场技术交底内容，开工后必须组织一次应急演练，确保一旦发生事故，能够做到第一时间处置，最大限度减少损失</w:t>
      </w:r>
      <w:r>
        <w:rPr>
          <w:rStyle w:val="7"/>
          <w:rFonts w:hint="eastAsia" w:ascii="仿宋_GB2312" w:hAnsi="宋体"/>
          <w:sz w:val="21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next w:val="3"/>
    <w:qFormat/>
    <w:uiPriority w:val="0"/>
    <w:pPr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customStyle="1" w:styleId="3">
    <w:name w:val="Index8"/>
    <w:basedOn w:val="1"/>
    <w:next w:val="1"/>
    <w:qFormat/>
    <w:uiPriority w:val="0"/>
    <w:pPr>
      <w:ind w:left="294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2021-09-08T07:11:54Z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