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附件3</w:t>
      </w:r>
    </w:p>
    <w:p>
      <w:pPr>
        <w:pStyle w:val="2"/>
        <w:spacing w:before="0" w:beforeAutospacing="0" w:line="520" w:lineRule="exact"/>
        <w:ind w:left="640" w:firstLine="640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2020年第二季度现场抽查单位情况汇总表</w:t>
      </w:r>
    </w:p>
    <w:bookmarkEnd w:id="0"/>
    <w:tbl>
      <w:tblPr>
        <w:tblStyle w:val="5"/>
        <w:tblpPr w:leftFromText="180" w:rightFromText="180" w:vertAnchor="text" w:horzAnchor="page" w:tblpX="1889" w:tblpY="503"/>
        <w:tblOverlap w:val="never"/>
        <w:tblW w:w="13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882"/>
        <w:gridCol w:w="4721"/>
        <w:gridCol w:w="5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bidi="ar"/>
              </w:rPr>
              <w:t>序号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bidi="ar"/>
              </w:rPr>
              <w:t>区域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bidi="ar"/>
              </w:rPr>
              <w:t>单位名称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bidi="ar"/>
              </w:rPr>
              <w:t>现场核查情况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1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福田区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广东菲安妮皮具股份有限公司深圳分公司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未建立隐患排查治理制度及台账，系统上报零隐患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2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罗湖区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深圳市湖腾达加油站有限公司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二季度上报14条隐患，与台账相符合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3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南山区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深圳市雷能混合集成电路有限公司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企业七月底搬离南山区，系统上报零隐患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4</w:t>
            </w: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茂硕电源科技股份有限公司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基础信息：未录入危险化学品信息、电工离职未及时更新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4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二季度自查上报2条隐患，与台账相符合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5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盐田区</w:t>
            </w:r>
          </w:p>
        </w:tc>
        <w:tc>
          <w:tcPr>
            <w:tcW w:w="4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深圳市安科讯电子制造有限公司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基础信息：特种作业人员信息录入不全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4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二季度自查上报1条隐患，与台账相符合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6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宝安区</w:t>
            </w:r>
          </w:p>
        </w:tc>
        <w:tc>
          <w:tcPr>
            <w:tcW w:w="4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深圳市银宝山新科技股份有限公司模具五厂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基础信息：特种作业人员和特种设备操作人员信息填报错误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4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二季度自查上报2条隐患，与台账相符合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7</w:t>
            </w: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富威皮具制品(深圳)有限公司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2"/>
              </w:tabs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基础信息：未录入危险化学品信息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4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二季度自查上报1条隐患，与台账不相符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8</w:t>
            </w: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深圳信立泰药业股份有限公司制药一厂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二季度自查上报1条隐患，与台账不相符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9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龙岗区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深圳市友信崧锋实业有限公司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二季度自查上报1条隐患，与台账不相符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10</w:t>
            </w: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深圳金湖电镀有限公司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基础信息：特种作业人员变更未及时更新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4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二季度自查上报7条隐患，与台账相符合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11</w:t>
            </w: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华诺家具（深圳）有限公司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二季度自查上报3条隐患，与台账相符合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12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龙华区</w:t>
            </w:r>
          </w:p>
        </w:tc>
        <w:tc>
          <w:tcPr>
            <w:tcW w:w="4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深圳华兴服装有限公司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基础信息:标准化创建选择错误，未完成一级标准化创建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4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7月份开始复工复产，系统上报零隐患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13</w:t>
            </w: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宝诗纸品印刷（深圳）有限公司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二季度自查上报7条隐患，与台账相符合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14</w:t>
            </w: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鹏映塑料（深圳）有限公司观澜分公司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二季度自查上报8条隐患，与台账相符合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15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坪山区</w:t>
            </w:r>
          </w:p>
        </w:tc>
        <w:tc>
          <w:tcPr>
            <w:tcW w:w="4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深港丰润化工（深圳）有限公司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基础信息：特种作业人员和安全管理人员变动未及时更新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4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二季度自查上报4条隐患，与台账相符合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16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光明区</w:t>
            </w:r>
          </w:p>
        </w:tc>
        <w:tc>
          <w:tcPr>
            <w:tcW w:w="4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富森茂五金（深圳）有限公司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基础信息：特种作业人员离职未及时更新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4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二季度自查上报19条隐患，与台账相符合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17</w:t>
            </w: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深圳市富力达工业有限公司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二季度自查上报8条隐患，与台账相符合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18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大鹏新区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深圳市雄韬锂电有限公司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二季度自查上报3条隐患，与台账相符合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19</w:t>
            </w:r>
          </w:p>
        </w:tc>
        <w:tc>
          <w:tcPr>
            <w:tcW w:w="18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市教育局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深圳市耀华实验学校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多个季度自查上报0隐患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20</w:t>
            </w: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市应急管理局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中国石化销售股份有限公司广东深圳大鹏湾油库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二季度自查上报0隐患，与台账相符合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21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市公安局</w:t>
            </w:r>
          </w:p>
        </w:tc>
        <w:tc>
          <w:tcPr>
            <w:tcW w:w="4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深圳市回品酒店有限公司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基础信息：未录入特种作业人员信息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4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多个季度自查上报0隐患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22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市卫生健康委</w:t>
            </w:r>
          </w:p>
        </w:tc>
        <w:tc>
          <w:tcPr>
            <w:tcW w:w="4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深圳市龙华人民医院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基础信息：安全管理机构人员变动未及时更新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4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二季度自查上报4条隐患，与台账相符合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23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市人力资源局</w:t>
            </w:r>
          </w:p>
        </w:tc>
        <w:tc>
          <w:tcPr>
            <w:tcW w:w="4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深圳市深科技工学校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基础信息:未录入电工信息、学校员工信息不准确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4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二季度自查上报2条隐患，与台账相符合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24</w:t>
            </w: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市生态环境局</w:t>
            </w:r>
          </w:p>
        </w:tc>
        <w:tc>
          <w:tcPr>
            <w:tcW w:w="4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深圳开瑞环保科技有限公司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基础信息：安全机构负责人和安全管理人员离职未及时更新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4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二季度自查上报3条隐患，与台账相符合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25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市水务局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bidi="ar"/>
              </w:rPr>
              <w:t>深圳市深港产学研环保工程技术股份有限公司牛成水质净化厂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二季度自查上报0隐患，与台账相符合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9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2020-08-26T02:41:25Z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