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right="-57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青鸟华光简小标宋" w:eastAsia="方正小标宋简体" w:cs="青鸟华光简小标宋"/>
          <w:b w:val="0"/>
          <w:bCs w:val="0"/>
          <w:sz w:val="44"/>
          <w:szCs w:val="44"/>
        </w:rPr>
      </w:pPr>
      <w:r>
        <w:rPr>
          <w:rFonts w:hint="eastAsia" w:ascii="方正小标宋简体" w:hAnsi="青鸟华光简小标宋" w:eastAsia="方正小标宋简体" w:cs="青鸟华光简小标宋"/>
          <w:b w:val="0"/>
          <w:bCs w:val="0"/>
          <w:sz w:val="44"/>
          <w:szCs w:val="44"/>
        </w:rPr>
        <w:t>危险化学品生产企业及重大危险源在线监控数据接入信息调查表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青鸟华光简小标宋" w:eastAsia="方正小标宋简体" w:cs="青鸟华光简小标宋"/>
          <w:b/>
          <w:bCs/>
          <w:sz w:val="44"/>
          <w:szCs w:val="44"/>
        </w:rPr>
      </w:pPr>
    </w:p>
    <w:tbl>
      <w:tblPr>
        <w:tblStyle w:val="2"/>
        <w:tblW w:w="1389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870"/>
        <w:gridCol w:w="1121"/>
        <w:gridCol w:w="1121"/>
        <w:gridCol w:w="1291"/>
        <w:gridCol w:w="1007"/>
        <w:gridCol w:w="662"/>
        <w:gridCol w:w="910"/>
        <w:gridCol w:w="774"/>
        <w:gridCol w:w="688"/>
        <w:gridCol w:w="658"/>
        <w:gridCol w:w="1978"/>
        <w:gridCol w:w="850"/>
        <w:gridCol w:w="709"/>
        <w:gridCol w:w="658"/>
        <w:gridCol w:w="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10" w:hRule="atLeast"/>
          <w:tblHeader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录像机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录像机品牌型号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录像机安装位置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监控机柜是否有位置增加1-2台网关设备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互联网接口是否已到位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互联网上行速率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NVR用户名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登录密码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IP地址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通道号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通道名称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监控区域分类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摄像机类型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是否高清摄像机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录像机1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录像机2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49" w:hRule="atLeast"/>
        </w:trPr>
        <w:tc>
          <w:tcPr>
            <w:tcW w:w="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49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80" w:hRule="atLeast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3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填报说明：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1. 通道号是指摄像机所在NVR/DVR上的摄像机通道号；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2. 主要提供值班室、储存仓库、生产车间、厂区大门口、高点视频等场所监控信息，其它区域不要求登记；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1"/>
                <w:szCs w:val="21"/>
              </w:rPr>
              <w:t>3. 另外，需要提供企业的视频监控分布图（在企业平面图标注）。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青鸟华光简小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2020-07-21T08:03:04Z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