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58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right="-58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危险化学品企业安全生产风险监测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预警系统建设指引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b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t>一、危险化学品生产企业视频接入升级改造要求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Cs/>
          <w:color w:val="000000"/>
          <w:sz w:val="32"/>
          <w:szCs w:val="32"/>
        </w:rPr>
        <w:t>（一）摄像机要求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1</w:t>
      </w:r>
      <w:r>
        <w:rPr>
          <w:rFonts w:ascii="仿宋_GB2312" w:hAnsi="仿宋" w:eastAsia="仿宋_GB2312" w:cs="仿宋"/>
          <w:bCs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摄像机要求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网络高清监控设备，分辨率要求1080P或以上，编码支持H.264或者H.265。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2.摄像机安装位置要求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企业至少在以下五类场所设置摄像头，每类场所至少有1路视频。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（1）大门口：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摄像机图像应能看到厂区大门口车辆、人员进出厂区情况，若有多个门口，每个门口均要有覆盖；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（2）值班室：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监控图像应能看到值班岗位的情况；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（3）生产车间：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视频应覆盖车间主要生产设备，重点操作部位(如打板房等)不应被遮挡，一个摄像头不能满足的，应根据企业实际安装多个；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（4）仓库、储罐区（若有）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：视频应覆盖整个仓库（包括危险废弃物储存场所）、储罐区，一个摄像头不能满足的，应根据企业实际安装多个；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（5）高点监控：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使用球机（能转动、变倍的摄像机），安装位置要求在企业建筑物的楼顶，能监控整个生产区和存储区，同时尽量能兼顾大门口。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Cs/>
          <w:color w:val="000000"/>
          <w:sz w:val="32"/>
          <w:szCs w:val="32"/>
        </w:rPr>
        <w:t>（二）视频录像机（NVR）要求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（1）企业视频录像机应</w:t>
      </w:r>
      <w:r>
        <w:rPr>
          <w:rFonts w:ascii="仿宋_GB2312" w:hAnsi="仿宋" w:eastAsia="仿宋_GB2312" w:cs="仿宋"/>
          <w:color w:val="000000"/>
          <w:sz w:val="32"/>
          <w:szCs w:val="32"/>
        </w:rPr>
        <w:t>支持国标GB/T28181或者ehome协议，推荐海康威视、浙江大华等品牌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（2）视频录像机应具备</w:t>
      </w:r>
      <w:r>
        <w:rPr>
          <w:rFonts w:ascii="仿宋_GB2312" w:hAnsi="仿宋" w:eastAsia="仿宋_GB2312" w:cs="仿宋"/>
          <w:color w:val="000000"/>
          <w:sz w:val="32"/>
          <w:szCs w:val="32"/>
        </w:rPr>
        <w:t>2个网口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：</w:t>
      </w:r>
      <w:r>
        <w:rPr>
          <w:rFonts w:ascii="仿宋_GB2312" w:hAnsi="仿宋" w:eastAsia="仿宋_GB2312" w:cs="仿宋"/>
          <w:color w:val="000000"/>
          <w:sz w:val="32"/>
          <w:szCs w:val="32"/>
        </w:rPr>
        <w:t>1个网口接企业监控内网，另1个网口接市危化品监测预警系统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Cs/>
          <w:color w:val="000000"/>
          <w:sz w:val="32"/>
          <w:szCs w:val="32"/>
        </w:rPr>
        <w:t>（三）网络要求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企业应提供上行速率不少于10Mb/s的互联网宽带，网络接口部署于录像机附近。网络无法满足要求的自行联系运营商办理。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t>二、重大危险源企业视频、物联接入升级改造要求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Cs/>
          <w:color w:val="000000"/>
          <w:sz w:val="32"/>
          <w:szCs w:val="32"/>
        </w:rPr>
        <w:t>（一）重大危险源企业视频接入升级改造要求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同危险化学品生产企业视频接入升级改造要求。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Cs/>
          <w:color w:val="000000"/>
          <w:sz w:val="32"/>
          <w:szCs w:val="32"/>
        </w:rPr>
        <w:t>（二）重大危险源企业物联接入升级改造要求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1．设备摆放空间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物联网网关等相关设备是标准的机箱，需企业提供不小于4U的空间，安放物联网网关等相关设备。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2．网络要求</w:t>
      </w:r>
    </w:p>
    <w:p>
      <w:pPr>
        <w:spacing w:line="560" w:lineRule="exact"/>
        <w:ind w:firstLine="742" w:firstLineChars="232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企业应提供上行速率不少于20Mb/s的点到点专线（A点为企业机房，B点为市危化品监测预警系统），网络接口部署于录像机附近；企业应为物联网网关提供可用的网络地址，保证数据采集设备与企业DCS系统之间互通。网络暂无法满足要求的自行联系运营商办理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3．电源要求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物联网网关配备冗余电源，要求企业提供两个220V电源接口。一个电源接入市电，一个电源接入UPS。其它相关设备提供220V电源接口。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4．监测数据采集范围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重大危险源企业危化品储罐感知数据包括：罐的液位、温度、压力及可燃、有毒气体浓度等安全监测数据，库区感知数据包括：库区的温度及可燃、有毒气体浓度。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5．物联网网关接入要求</w:t>
      </w:r>
      <w:bookmarkStart w:id="0" w:name="_Toc17824974"/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物联网关安装软件要求</w:t>
      </w:r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。由于企业现场情况复杂，工作环境各不相同，企业基本过程控制系统应满足以下至少一种采集数据的方式：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（1）使用OPC协议提供数据的企业，要求提供可直接连接OPC Server的网络，在OPC Server上安装网关配套的OPC桥接组件，提供OPC Server的IP地址以及OPC Server系统的用户名和密码，提供OPC数据的完整位号表，并确保OPC服务器可以正常联通和提供数据。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使用ModbusRtu协议提供数据的企业，提前对需要采集的数据进行组态，提供从机号（只在网关当主机的时候使用）和采集数据的地址位号映射表及数据格式、波特率、有无校验、数字长度、停止位等通信参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（3）使用ModbusTcp协议提供数据的企业，提前对需要采集的数据进行组态，提供DCS的IP地址和端口号、从机号（只在网关当主机的时候使用）和采集数据的地址位号映射表及数据格式。</w:t>
      </w:r>
    </w:p>
    <w:p>
      <w:pPr>
        <w:spacing w:line="560" w:lineRule="exact"/>
        <w:ind w:firstLine="745" w:firstLineChars="232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6．上报数据源要求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若企业需上报的数据分布在多个自控系统，且各系统相距较远，企业应将数据进行集成汇聚，所有数据通过统一的数据源，上报至物联网网关。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企业应将紧急停车系统（ESD）部分的数据推送到基本过程控制系统后，由网关设备进行数据采集。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7．安装配合人员要求</w:t>
      </w:r>
    </w:p>
    <w:p>
      <w:pPr>
        <w:spacing w:line="360" w:lineRule="auto"/>
        <w:ind w:firstLine="742" w:firstLineChars="23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物联网网关与自控系统交互，企业需协调自控系统的厂家安装调试人员到现场提供技术支持，或者本企业具备调试自控系统数据远传能力的人员现场支持，配合完成物联网网关从企业自控系统采集数据工作。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9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2020-07-21T07:58:56Z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